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5E728" w14:textId="77777777" w:rsidR="004C5FA8" w:rsidRDefault="004C5FA8" w:rsidP="009B477D">
      <w:pPr>
        <w:rPr>
          <w:b/>
          <w:sz w:val="28"/>
          <w:szCs w:val="28"/>
        </w:rPr>
      </w:pPr>
      <w:bookmarkStart w:id="0" w:name="_GoBack"/>
      <w:bookmarkEnd w:id="0"/>
    </w:p>
    <w:p w14:paraId="26448D17" w14:textId="77777777" w:rsidR="009B477D" w:rsidRPr="00C13AFC" w:rsidRDefault="009B477D" w:rsidP="009B477D">
      <w:pPr>
        <w:rPr>
          <w:b/>
          <w:sz w:val="28"/>
          <w:szCs w:val="28"/>
        </w:rPr>
      </w:pPr>
      <w:r w:rsidRPr="00C13AFC">
        <w:rPr>
          <w:b/>
          <w:sz w:val="28"/>
          <w:szCs w:val="28"/>
        </w:rPr>
        <w:t xml:space="preserve">Noncredit to Credit: </w:t>
      </w:r>
      <w:r>
        <w:rPr>
          <w:b/>
          <w:sz w:val="28"/>
          <w:szCs w:val="28"/>
        </w:rPr>
        <w:t xml:space="preserve">The </w:t>
      </w:r>
      <w:r w:rsidRPr="00C13AFC">
        <w:rPr>
          <w:b/>
          <w:sz w:val="28"/>
          <w:szCs w:val="28"/>
        </w:rPr>
        <w:t>Journey</w:t>
      </w:r>
      <w:r>
        <w:rPr>
          <w:b/>
          <w:sz w:val="28"/>
          <w:szCs w:val="28"/>
        </w:rPr>
        <w:t xml:space="preserve"> Continues</w:t>
      </w:r>
    </w:p>
    <w:p w14:paraId="2EE57EE7" w14:textId="77777777" w:rsidR="009B477D" w:rsidRPr="00C13AFC" w:rsidRDefault="009B477D" w:rsidP="009B477D">
      <w:pPr>
        <w:rPr>
          <w:sz w:val="28"/>
          <w:szCs w:val="28"/>
        </w:rPr>
      </w:pPr>
    </w:p>
    <w:p w14:paraId="35422BB3" w14:textId="360617FE" w:rsidR="009B477D" w:rsidRDefault="009B477D" w:rsidP="009B477D">
      <w:pPr>
        <w:rPr>
          <w:kern w:val="24"/>
          <w:sz w:val="28"/>
          <w:szCs w:val="28"/>
        </w:rPr>
      </w:pPr>
      <w:r w:rsidRPr="00C13AFC">
        <w:rPr>
          <w:kern w:val="24"/>
          <w:sz w:val="28"/>
          <w:szCs w:val="28"/>
        </w:rPr>
        <w:t xml:space="preserve">A </w:t>
      </w:r>
      <w:r>
        <w:rPr>
          <w:kern w:val="24"/>
          <w:sz w:val="28"/>
          <w:szCs w:val="28"/>
        </w:rPr>
        <w:t>key element</w:t>
      </w:r>
      <w:r w:rsidRPr="00C13AFC">
        <w:rPr>
          <w:kern w:val="24"/>
          <w:sz w:val="28"/>
          <w:szCs w:val="28"/>
        </w:rPr>
        <w:t xml:space="preserve"> of the mission of Continuing Education units is to provide access and pathways to higher education in non-traditional ways and </w:t>
      </w:r>
      <w:r>
        <w:rPr>
          <w:kern w:val="24"/>
          <w:sz w:val="28"/>
          <w:szCs w:val="28"/>
        </w:rPr>
        <w:t xml:space="preserve">in so doing </w:t>
      </w:r>
      <w:r w:rsidRPr="00C13AFC">
        <w:rPr>
          <w:kern w:val="24"/>
          <w:sz w:val="28"/>
          <w:szCs w:val="28"/>
        </w:rPr>
        <w:t>to serve adult learners. Continuing Education departments fulfill the need for quality education and practical training that is focused and customizable</w:t>
      </w:r>
      <w:r>
        <w:rPr>
          <w:kern w:val="24"/>
          <w:sz w:val="28"/>
          <w:szCs w:val="28"/>
        </w:rPr>
        <w:t>,</w:t>
      </w:r>
      <w:r w:rsidRPr="00C13AFC">
        <w:rPr>
          <w:kern w:val="24"/>
          <w:sz w:val="28"/>
          <w:szCs w:val="28"/>
        </w:rPr>
        <w:t xml:space="preserve"> and provide</w:t>
      </w:r>
      <w:r>
        <w:rPr>
          <w:kern w:val="24"/>
          <w:sz w:val="28"/>
          <w:szCs w:val="28"/>
        </w:rPr>
        <w:t>s</w:t>
      </w:r>
      <w:r w:rsidRPr="00C13AFC">
        <w:rPr>
          <w:kern w:val="24"/>
          <w:sz w:val="28"/>
          <w:szCs w:val="28"/>
        </w:rPr>
        <w:t xml:space="preserve"> a </w:t>
      </w:r>
      <w:r>
        <w:rPr>
          <w:kern w:val="24"/>
          <w:sz w:val="28"/>
          <w:szCs w:val="28"/>
        </w:rPr>
        <w:t>path to career</w:t>
      </w:r>
      <w:r w:rsidRPr="00C13AFC">
        <w:rPr>
          <w:kern w:val="24"/>
          <w:sz w:val="28"/>
          <w:szCs w:val="28"/>
        </w:rPr>
        <w:t xml:space="preserve"> </w:t>
      </w:r>
      <w:r>
        <w:rPr>
          <w:kern w:val="24"/>
          <w:sz w:val="28"/>
          <w:szCs w:val="28"/>
        </w:rPr>
        <w:t>advancement</w:t>
      </w:r>
      <w:r w:rsidRPr="00C13AFC">
        <w:rPr>
          <w:kern w:val="24"/>
          <w:sz w:val="28"/>
          <w:szCs w:val="28"/>
        </w:rPr>
        <w:t xml:space="preserve"> and self-fulfillment.  Recently th</w:t>
      </w:r>
      <w:r>
        <w:rPr>
          <w:kern w:val="24"/>
          <w:sz w:val="28"/>
          <w:szCs w:val="28"/>
        </w:rPr>
        <w:t>ese</w:t>
      </w:r>
      <w:r w:rsidRPr="00C13AFC">
        <w:rPr>
          <w:kern w:val="24"/>
          <w:sz w:val="28"/>
          <w:szCs w:val="28"/>
        </w:rPr>
        <w:t xml:space="preserve"> goal</w:t>
      </w:r>
      <w:r>
        <w:rPr>
          <w:kern w:val="24"/>
          <w:sz w:val="28"/>
          <w:szCs w:val="28"/>
        </w:rPr>
        <w:t>s</w:t>
      </w:r>
      <w:r w:rsidRPr="00C13AFC">
        <w:rPr>
          <w:kern w:val="24"/>
          <w:sz w:val="28"/>
          <w:szCs w:val="28"/>
        </w:rPr>
        <w:t xml:space="preserve"> ha</w:t>
      </w:r>
      <w:r>
        <w:rPr>
          <w:kern w:val="24"/>
          <w:sz w:val="28"/>
          <w:szCs w:val="28"/>
        </w:rPr>
        <w:t>ve</w:t>
      </w:r>
      <w:r w:rsidRPr="00C13AFC">
        <w:rPr>
          <w:kern w:val="24"/>
          <w:sz w:val="28"/>
          <w:szCs w:val="28"/>
        </w:rPr>
        <w:t xml:space="preserve"> expanded and now include giving adults access to college credit by recognizing that some training programs are equal to credit courses in terms of knowledge learned. By allowing non-credit courses to be eligible for cre</w:t>
      </w:r>
      <w:r w:rsidR="004C5FA8">
        <w:rPr>
          <w:kern w:val="24"/>
          <w:sz w:val="28"/>
          <w:szCs w:val="28"/>
        </w:rPr>
        <w:t>dit, colleges recognize that</w:t>
      </w:r>
      <w:r w:rsidRPr="00C13AFC">
        <w:rPr>
          <w:kern w:val="24"/>
          <w:sz w:val="28"/>
          <w:szCs w:val="28"/>
        </w:rPr>
        <w:t xml:space="preserve"> credential</w:t>
      </w:r>
      <w:r>
        <w:rPr>
          <w:kern w:val="24"/>
          <w:sz w:val="28"/>
          <w:szCs w:val="28"/>
        </w:rPr>
        <w:t>s earned in one way</w:t>
      </w:r>
      <w:r w:rsidRPr="00C13AFC">
        <w:rPr>
          <w:kern w:val="24"/>
          <w:sz w:val="28"/>
          <w:szCs w:val="28"/>
        </w:rPr>
        <w:t xml:space="preserve"> may equal another. </w:t>
      </w:r>
    </w:p>
    <w:p w14:paraId="46934C51" w14:textId="77777777" w:rsidR="009B477D" w:rsidRDefault="009B477D" w:rsidP="009B477D">
      <w:pPr>
        <w:rPr>
          <w:kern w:val="24"/>
          <w:sz w:val="28"/>
          <w:szCs w:val="28"/>
        </w:rPr>
      </w:pPr>
    </w:p>
    <w:p w14:paraId="1BE3948C" w14:textId="2DC5D7E5" w:rsidR="009B477D" w:rsidRPr="00C13AFC" w:rsidRDefault="004C5FA8" w:rsidP="009B477D">
      <w:pPr>
        <w:rPr>
          <w:sz w:val="28"/>
          <w:szCs w:val="28"/>
        </w:rPr>
      </w:pPr>
      <w:r>
        <w:rPr>
          <w:kern w:val="24"/>
          <w:sz w:val="28"/>
          <w:szCs w:val="28"/>
        </w:rPr>
        <w:t>In a recent</w:t>
      </w:r>
      <w:r w:rsidR="009B477D">
        <w:rPr>
          <w:kern w:val="24"/>
          <w:sz w:val="28"/>
          <w:szCs w:val="28"/>
        </w:rPr>
        <w:t xml:space="preserve"> </w:t>
      </w:r>
      <w:r w:rsidR="009B477D" w:rsidRPr="00C13AFC">
        <w:rPr>
          <w:kern w:val="24"/>
          <w:sz w:val="28"/>
          <w:szCs w:val="28"/>
        </w:rPr>
        <w:t>study (</w:t>
      </w:r>
      <w:r w:rsidR="009B477D">
        <w:rPr>
          <w:kern w:val="24"/>
          <w:sz w:val="28"/>
          <w:szCs w:val="28"/>
        </w:rPr>
        <w:t xml:space="preserve">CEANY </w:t>
      </w:r>
      <w:r w:rsidR="009B477D" w:rsidRPr="00C13AFC">
        <w:rPr>
          <w:kern w:val="24"/>
          <w:sz w:val="28"/>
          <w:szCs w:val="28"/>
        </w:rPr>
        <w:t xml:space="preserve">KISS Survey, 2017) </w:t>
      </w:r>
      <w:r w:rsidR="009B477D">
        <w:rPr>
          <w:kern w:val="24"/>
          <w:sz w:val="28"/>
          <w:szCs w:val="28"/>
        </w:rPr>
        <w:t xml:space="preserve">members of the Continuing Education Association of </w:t>
      </w:r>
      <w:r w:rsidR="009B477D" w:rsidRPr="00C13AFC">
        <w:rPr>
          <w:kern w:val="24"/>
          <w:sz w:val="28"/>
          <w:szCs w:val="28"/>
        </w:rPr>
        <w:t xml:space="preserve">New York State indicated that their top area of interest was in learning more about how non-credit courses can be recognized in degree programs.  The webinar, </w:t>
      </w:r>
      <w:r w:rsidR="009B477D" w:rsidRPr="00C13AFC">
        <w:rPr>
          <w:b/>
          <w:sz w:val="28"/>
          <w:szCs w:val="28"/>
        </w:rPr>
        <w:t>Non</w:t>
      </w:r>
      <w:r w:rsidR="009B477D">
        <w:rPr>
          <w:b/>
          <w:sz w:val="28"/>
          <w:szCs w:val="28"/>
        </w:rPr>
        <w:t>-</w:t>
      </w:r>
      <w:r w:rsidR="009B477D" w:rsidRPr="00C13AFC">
        <w:rPr>
          <w:b/>
          <w:sz w:val="28"/>
          <w:szCs w:val="28"/>
        </w:rPr>
        <w:t xml:space="preserve">credit to Credit: An Evolving Journey, </w:t>
      </w:r>
      <w:r w:rsidR="009B477D" w:rsidRPr="00C13AFC">
        <w:rPr>
          <w:sz w:val="28"/>
          <w:szCs w:val="28"/>
        </w:rPr>
        <w:t>was the most watched of the CEANY webinars in 2016-17. In this white paper</w:t>
      </w:r>
      <w:r w:rsidR="009B477D">
        <w:rPr>
          <w:sz w:val="28"/>
          <w:szCs w:val="28"/>
        </w:rPr>
        <w:t>,</w:t>
      </w:r>
      <w:r w:rsidR="009B477D" w:rsidRPr="00C13AFC">
        <w:rPr>
          <w:sz w:val="28"/>
          <w:szCs w:val="28"/>
        </w:rPr>
        <w:t xml:space="preserve"> three continuing educators, Jill Pippin, Dean of Extended Learning at SUNY Oswego, Kim Kendall, Executive Director of </w:t>
      </w:r>
      <w:r w:rsidR="009B477D" w:rsidRPr="009B477D">
        <w:rPr>
          <w:sz w:val="28"/>
          <w:szCs w:val="28"/>
        </w:rPr>
        <w:t>Workforce,</w:t>
      </w:r>
      <w:r w:rsidR="009B477D" w:rsidRPr="00C13AFC">
        <w:rPr>
          <w:sz w:val="28"/>
          <w:szCs w:val="28"/>
        </w:rPr>
        <w:t xml:space="preserve"> at LaGuardia Community College and Jane MacKillop, Interim Dean of the School of </w:t>
      </w:r>
      <w:r w:rsidR="009B477D">
        <w:rPr>
          <w:sz w:val="28"/>
          <w:szCs w:val="28"/>
        </w:rPr>
        <w:t xml:space="preserve">Continuing and </w:t>
      </w:r>
      <w:r w:rsidR="009B477D" w:rsidRPr="00C13AFC">
        <w:rPr>
          <w:sz w:val="28"/>
          <w:szCs w:val="28"/>
        </w:rPr>
        <w:t xml:space="preserve">Professional Studies at Lehman College, </w:t>
      </w:r>
      <w:r w:rsidR="009B477D">
        <w:rPr>
          <w:sz w:val="28"/>
          <w:szCs w:val="28"/>
        </w:rPr>
        <w:t>CUNY, review the origin of credentials,</w:t>
      </w:r>
      <w:r w:rsidR="009B477D" w:rsidRPr="00C13AFC">
        <w:rPr>
          <w:sz w:val="28"/>
          <w:szCs w:val="28"/>
        </w:rPr>
        <w:t xml:space="preserve"> discuss their experiences</w:t>
      </w:r>
      <w:r w:rsidR="009B477D">
        <w:rPr>
          <w:sz w:val="28"/>
          <w:szCs w:val="28"/>
        </w:rPr>
        <w:t>, describe some of the issues and suggest approaches when considering the establishment of non-credit to credit pathways.</w:t>
      </w:r>
    </w:p>
    <w:p w14:paraId="04C67F87" w14:textId="77777777" w:rsidR="009B477D" w:rsidRPr="00C13AFC" w:rsidRDefault="009B477D" w:rsidP="009B477D">
      <w:pPr>
        <w:pStyle w:val="NormalWeb"/>
        <w:spacing w:before="0" w:beforeAutospacing="0" w:after="0" w:afterAutospacing="0"/>
        <w:rPr>
          <w:rFonts w:asciiTheme="minorHAnsi" w:hAnsiTheme="minorHAnsi"/>
          <w:sz w:val="28"/>
          <w:szCs w:val="28"/>
        </w:rPr>
      </w:pPr>
    </w:p>
    <w:p w14:paraId="4E170827" w14:textId="77777777" w:rsidR="009B477D" w:rsidRPr="00C13AFC" w:rsidRDefault="009B477D" w:rsidP="009B477D">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r>
        <w:rPr>
          <w:rFonts w:asciiTheme="minorHAnsi" w:eastAsiaTheme="minorEastAsia" w:hAnsiTheme="minorHAnsi" w:cstheme="minorBidi"/>
          <w:b/>
          <w:color w:val="000000" w:themeColor="text1"/>
          <w:kern w:val="24"/>
          <w:sz w:val="28"/>
          <w:szCs w:val="28"/>
        </w:rPr>
        <w:t xml:space="preserve">The History of </w:t>
      </w:r>
      <w:r w:rsidRPr="00C13AFC">
        <w:rPr>
          <w:rFonts w:asciiTheme="minorHAnsi" w:eastAsiaTheme="minorEastAsia" w:hAnsiTheme="minorHAnsi" w:cstheme="minorBidi"/>
          <w:b/>
          <w:color w:val="000000" w:themeColor="text1"/>
          <w:kern w:val="24"/>
          <w:sz w:val="28"/>
          <w:szCs w:val="28"/>
        </w:rPr>
        <w:t>Credentials</w:t>
      </w:r>
    </w:p>
    <w:p w14:paraId="64A09D27" w14:textId="77777777" w:rsidR="009B477D" w:rsidRPr="00C13AFC"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During</w:t>
      </w:r>
      <w:r w:rsidRPr="00C13AFC">
        <w:rPr>
          <w:rFonts w:asciiTheme="minorHAnsi" w:eastAsiaTheme="minorEastAsia" w:hAnsiTheme="minorHAnsi" w:cstheme="minorBidi"/>
          <w:color w:val="000000" w:themeColor="text1"/>
          <w:kern w:val="24"/>
          <w:sz w:val="28"/>
          <w:szCs w:val="28"/>
        </w:rPr>
        <w:t xml:space="preserve"> the Middle Ages in Europe the credential </w:t>
      </w:r>
      <w:r>
        <w:rPr>
          <w:rFonts w:asciiTheme="minorHAnsi" w:eastAsiaTheme="minorEastAsia" w:hAnsiTheme="minorHAnsi" w:cstheme="minorBidi"/>
          <w:color w:val="000000" w:themeColor="text1"/>
          <w:kern w:val="24"/>
          <w:sz w:val="28"/>
          <w:szCs w:val="28"/>
        </w:rPr>
        <w:t>was used by</w:t>
      </w:r>
      <w:r w:rsidRPr="00C13AFC">
        <w:rPr>
          <w:rFonts w:asciiTheme="minorHAnsi" w:eastAsiaTheme="minorEastAsia" w:hAnsiTheme="minorHAnsi" w:cstheme="minorBidi"/>
          <w:color w:val="000000" w:themeColor="text1"/>
          <w:kern w:val="24"/>
          <w:sz w:val="28"/>
          <w:szCs w:val="28"/>
        </w:rPr>
        <w:t xml:space="preserve"> guilds </w:t>
      </w:r>
      <w:r>
        <w:rPr>
          <w:rFonts w:asciiTheme="minorHAnsi" w:eastAsiaTheme="minorEastAsia" w:hAnsiTheme="minorHAnsi" w:cstheme="minorBidi"/>
          <w:color w:val="000000" w:themeColor="text1"/>
          <w:kern w:val="24"/>
          <w:sz w:val="28"/>
          <w:szCs w:val="28"/>
        </w:rPr>
        <w:t>to</w:t>
      </w:r>
      <w:r w:rsidRPr="00C13AFC">
        <w:rPr>
          <w:rFonts w:asciiTheme="minorHAnsi" w:eastAsiaTheme="minorEastAsia" w:hAnsiTheme="minorHAnsi" w:cstheme="minorBidi"/>
          <w:color w:val="000000" w:themeColor="text1"/>
          <w:kern w:val="24"/>
          <w:sz w:val="28"/>
          <w:szCs w:val="28"/>
        </w:rPr>
        <w:t xml:space="preserve"> </w:t>
      </w:r>
      <w:r>
        <w:rPr>
          <w:rFonts w:asciiTheme="minorHAnsi" w:eastAsiaTheme="minorEastAsia" w:hAnsiTheme="minorHAnsi" w:cstheme="minorBidi"/>
          <w:color w:val="000000" w:themeColor="text1"/>
          <w:kern w:val="24"/>
          <w:sz w:val="28"/>
          <w:szCs w:val="28"/>
        </w:rPr>
        <w:t xml:space="preserve">signify </w:t>
      </w:r>
      <w:r w:rsidRPr="00C13AFC">
        <w:rPr>
          <w:rFonts w:asciiTheme="minorHAnsi" w:eastAsiaTheme="minorEastAsia" w:hAnsiTheme="minorHAnsi" w:cstheme="minorBidi"/>
          <w:color w:val="000000" w:themeColor="text1"/>
          <w:kern w:val="24"/>
          <w:sz w:val="28"/>
          <w:szCs w:val="28"/>
        </w:rPr>
        <w:t>permission to learn and then practice a trade</w:t>
      </w:r>
      <w:r>
        <w:rPr>
          <w:rFonts w:asciiTheme="minorHAnsi" w:eastAsiaTheme="minorEastAsia" w:hAnsiTheme="minorHAnsi" w:cstheme="minorBidi"/>
          <w:color w:val="000000" w:themeColor="text1"/>
          <w:kern w:val="24"/>
          <w:sz w:val="28"/>
          <w:szCs w:val="28"/>
        </w:rPr>
        <w:t>. These credentials</w:t>
      </w:r>
      <w:r w:rsidRPr="00C13AFC">
        <w:rPr>
          <w:rFonts w:asciiTheme="minorHAnsi" w:eastAsiaTheme="minorEastAsia" w:hAnsiTheme="minorHAnsi" w:cstheme="minorBidi"/>
          <w:color w:val="000000" w:themeColor="text1"/>
          <w:kern w:val="24"/>
          <w:sz w:val="28"/>
          <w:szCs w:val="28"/>
        </w:rPr>
        <w:t xml:space="preserve"> was overseen and granted by senior guild members. They were closely connected with religious groups and involved “fellows” (</w:t>
      </w:r>
      <w:r>
        <w:rPr>
          <w:rFonts w:asciiTheme="minorHAnsi" w:eastAsiaTheme="minorEastAsia" w:hAnsiTheme="minorHAnsi" w:cstheme="minorBidi"/>
          <w:color w:val="000000" w:themeColor="text1"/>
          <w:kern w:val="24"/>
          <w:sz w:val="28"/>
          <w:szCs w:val="28"/>
        </w:rPr>
        <w:t>hence</w:t>
      </w:r>
      <w:r w:rsidRPr="00C13AFC">
        <w:rPr>
          <w:rFonts w:asciiTheme="minorHAnsi" w:eastAsiaTheme="minorEastAsia" w:hAnsiTheme="minorHAnsi" w:cstheme="minorBidi"/>
          <w:color w:val="000000" w:themeColor="text1"/>
          <w:kern w:val="24"/>
          <w:sz w:val="28"/>
          <w:szCs w:val="28"/>
        </w:rPr>
        <w:t xml:space="preserve"> “fellowships” at universities). </w:t>
      </w:r>
    </w:p>
    <w:p w14:paraId="00B9CAF9" w14:textId="77777777" w:rsidR="009B477D" w:rsidRPr="00C13AFC" w:rsidRDefault="009B477D" w:rsidP="009B477D">
      <w:pPr>
        <w:pStyle w:val="NormalWeb"/>
        <w:spacing w:before="0" w:beforeAutospacing="0" w:after="0" w:afterAutospacing="0"/>
        <w:rPr>
          <w:rFonts w:asciiTheme="minorHAnsi" w:hAnsiTheme="minorHAnsi"/>
          <w:sz w:val="28"/>
          <w:szCs w:val="28"/>
        </w:rPr>
      </w:pPr>
    </w:p>
    <w:p w14:paraId="72AC51D9" w14:textId="77777777" w:rsidR="009B477D" w:rsidRPr="00C13AFC" w:rsidRDefault="009B477D" w:rsidP="009B477D">
      <w:pPr>
        <w:pStyle w:val="NormalWeb"/>
        <w:spacing w:before="0" w:beforeAutospacing="0" w:after="0" w:afterAutospacing="0"/>
        <w:rPr>
          <w:rFonts w:asciiTheme="minorHAnsi" w:hAnsiTheme="minorHAnsi"/>
          <w:sz w:val="28"/>
          <w:szCs w:val="28"/>
        </w:rPr>
      </w:pPr>
      <w:r w:rsidRPr="00C13AFC">
        <w:rPr>
          <w:rFonts w:asciiTheme="minorHAnsi" w:eastAsiaTheme="minorEastAsia" w:hAnsiTheme="minorHAnsi" w:cstheme="minorBidi"/>
          <w:color w:val="000000" w:themeColor="text1"/>
          <w:kern w:val="24"/>
          <w:sz w:val="28"/>
          <w:szCs w:val="28"/>
        </w:rPr>
        <w:t xml:space="preserve">The </w:t>
      </w:r>
      <w:r>
        <w:rPr>
          <w:rFonts w:asciiTheme="minorHAnsi" w:eastAsiaTheme="minorEastAsia" w:hAnsiTheme="minorHAnsi" w:cstheme="minorBidi"/>
          <w:color w:val="000000" w:themeColor="text1"/>
          <w:kern w:val="24"/>
          <w:sz w:val="28"/>
          <w:szCs w:val="28"/>
        </w:rPr>
        <w:t xml:space="preserve">rise of capitalism and the </w:t>
      </w:r>
      <w:r w:rsidRPr="00C13AFC">
        <w:rPr>
          <w:rFonts w:asciiTheme="minorHAnsi" w:eastAsiaTheme="minorEastAsia" w:hAnsiTheme="minorHAnsi" w:cstheme="minorBidi"/>
          <w:color w:val="000000" w:themeColor="text1"/>
          <w:kern w:val="24"/>
          <w:sz w:val="28"/>
          <w:szCs w:val="28"/>
        </w:rPr>
        <w:t>Industrial Revolution began to break up the control of guilds</w:t>
      </w:r>
      <w:r>
        <w:rPr>
          <w:rFonts w:asciiTheme="minorHAnsi" w:eastAsiaTheme="minorEastAsia" w:hAnsiTheme="minorHAnsi" w:cstheme="minorBidi"/>
          <w:color w:val="000000" w:themeColor="text1"/>
          <w:kern w:val="24"/>
          <w:sz w:val="28"/>
          <w:szCs w:val="28"/>
        </w:rPr>
        <w:t xml:space="preserve"> in the early modern period</w:t>
      </w:r>
      <w:r w:rsidRPr="00C13AFC">
        <w:rPr>
          <w:rFonts w:asciiTheme="minorHAnsi" w:eastAsiaTheme="minorEastAsia" w:hAnsiTheme="minorHAnsi" w:cstheme="minorBidi"/>
          <w:color w:val="000000" w:themeColor="text1"/>
          <w:kern w:val="24"/>
          <w:sz w:val="28"/>
          <w:szCs w:val="28"/>
        </w:rPr>
        <w:t>, but there was no common measurement of learning until the late 19</w:t>
      </w:r>
      <w:r w:rsidRPr="00C13AFC">
        <w:rPr>
          <w:rFonts w:asciiTheme="minorHAnsi" w:eastAsiaTheme="minorEastAsia" w:hAnsiTheme="minorHAnsi" w:cstheme="minorBidi"/>
          <w:color w:val="000000" w:themeColor="text1"/>
          <w:kern w:val="24"/>
          <w:position w:val="7"/>
          <w:sz w:val="28"/>
          <w:szCs w:val="28"/>
          <w:vertAlign w:val="superscript"/>
        </w:rPr>
        <w:t>th</w:t>
      </w:r>
      <w:r w:rsidRPr="00C13AFC">
        <w:rPr>
          <w:rFonts w:asciiTheme="minorHAnsi" w:eastAsiaTheme="minorEastAsia" w:hAnsiTheme="minorHAnsi" w:cstheme="minorBidi"/>
          <w:color w:val="000000" w:themeColor="text1"/>
          <w:kern w:val="24"/>
          <w:sz w:val="28"/>
          <w:szCs w:val="28"/>
        </w:rPr>
        <w:t xml:space="preserve"> and early 20</w:t>
      </w:r>
      <w:r w:rsidRPr="00C13AFC">
        <w:rPr>
          <w:rFonts w:asciiTheme="minorHAnsi" w:eastAsiaTheme="minorEastAsia" w:hAnsiTheme="minorHAnsi" w:cstheme="minorBidi"/>
          <w:color w:val="000000" w:themeColor="text1"/>
          <w:kern w:val="24"/>
          <w:position w:val="7"/>
          <w:sz w:val="28"/>
          <w:szCs w:val="28"/>
          <w:vertAlign w:val="superscript"/>
        </w:rPr>
        <w:t>th</w:t>
      </w:r>
      <w:r w:rsidRPr="00C13AFC">
        <w:rPr>
          <w:rFonts w:asciiTheme="minorHAnsi" w:eastAsiaTheme="minorEastAsia" w:hAnsiTheme="minorHAnsi" w:cstheme="minorBidi"/>
          <w:color w:val="000000" w:themeColor="text1"/>
          <w:kern w:val="24"/>
          <w:sz w:val="28"/>
          <w:szCs w:val="28"/>
        </w:rPr>
        <w:t xml:space="preserve"> centur</w:t>
      </w:r>
      <w:r>
        <w:rPr>
          <w:rFonts w:asciiTheme="minorHAnsi" w:eastAsiaTheme="minorEastAsia" w:hAnsiTheme="minorHAnsi" w:cstheme="minorBidi"/>
          <w:color w:val="000000" w:themeColor="text1"/>
          <w:kern w:val="24"/>
          <w:sz w:val="28"/>
          <w:szCs w:val="28"/>
        </w:rPr>
        <w:t>ies</w:t>
      </w:r>
      <w:r w:rsidRPr="00C13AFC">
        <w:rPr>
          <w:rFonts w:asciiTheme="minorHAnsi" w:eastAsiaTheme="minorEastAsia" w:hAnsiTheme="minorHAnsi" w:cstheme="minorBidi"/>
          <w:color w:val="000000" w:themeColor="text1"/>
          <w:kern w:val="24"/>
          <w:sz w:val="28"/>
          <w:szCs w:val="28"/>
        </w:rPr>
        <w:t xml:space="preserve"> when</w:t>
      </w:r>
      <w:r>
        <w:rPr>
          <w:rFonts w:asciiTheme="minorHAnsi" w:eastAsiaTheme="minorEastAsia" w:hAnsiTheme="minorHAnsi" w:cstheme="minorBidi"/>
          <w:color w:val="000000" w:themeColor="text1"/>
          <w:kern w:val="24"/>
          <w:sz w:val="28"/>
          <w:szCs w:val="28"/>
        </w:rPr>
        <w:t>, in the United States,</w:t>
      </w:r>
      <w:r w:rsidRPr="00C13AFC">
        <w:rPr>
          <w:rFonts w:asciiTheme="minorHAnsi" w:eastAsiaTheme="minorEastAsia" w:hAnsiTheme="minorHAnsi" w:cstheme="minorBidi"/>
          <w:color w:val="000000" w:themeColor="text1"/>
          <w:kern w:val="24"/>
          <w:sz w:val="28"/>
          <w:szCs w:val="28"/>
        </w:rPr>
        <w:t xml:space="preserve"> the Carnegie Unit classification was </w:t>
      </w:r>
      <w:r w:rsidRPr="00C13AFC">
        <w:rPr>
          <w:rFonts w:asciiTheme="minorHAnsi" w:eastAsiaTheme="minorEastAsia" w:hAnsiTheme="minorHAnsi" w:cstheme="minorBidi"/>
          <w:color w:val="000000" w:themeColor="text1"/>
          <w:kern w:val="24"/>
          <w:sz w:val="28"/>
          <w:szCs w:val="28"/>
        </w:rPr>
        <w:lastRenderedPageBreak/>
        <w:t xml:space="preserve">designed to standardize the educational experience and provide a common measurement of credit, based on 120 hours of seat time studying one subject. Colleges across the </w:t>
      </w:r>
      <w:r>
        <w:rPr>
          <w:rFonts w:asciiTheme="minorHAnsi" w:eastAsiaTheme="minorEastAsia" w:hAnsiTheme="minorHAnsi" w:cstheme="minorBidi"/>
          <w:color w:val="000000" w:themeColor="text1"/>
          <w:kern w:val="24"/>
          <w:sz w:val="28"/>
          <w:szCs w:val="28"/>
        </w:rPr>
        <w:t>country</w:t>
      </w:r>
      <w:r w:rsidRPr="00C13AFC">
        <w:rPr>
          <w:rFonts w:asciiTheme="minorHAnsi" w:eastAsiaTheme="minorEastAsia" w:hAnsiTheme="minorHAnsi" w:cstheme="minorBidi"/>
          <w:color w:val="000000" w:themeColor="text1"/>
          <w:kern w:val="24"/>
          <w:sz w:val="28"/>
          <w:szCs w:val="28"/>
        </w:rPr>
        <w:t xml:space="preserve"> adopted and </w:t>
      </w:r>
      <w:r>
        <w:rPr>
          <w:rFonts w:asciiTheme="minorHAnsi" w:eastAsiaTheme="minorEastAsia" w:hAnsiTheme="minorHAnsi" w:cstheme="minorBidi"/>
          <w:color w:val="000000" w:themeColor="text1"/>
          <w:kern w:val="24"/>
          <w:sz w:val="28"/>
          <w:szCs w:val="28"/>
        </w:rPr>
        <w:t>abide by</w:t>
      </w:r>
      <w:r w:rsidRPr="00C13AFC">
        <w:rPr>
          <w:rFonts w:asciiTheme="minorHAnsi" w:eastAsiaTheme="minorEastAsia" w:hAnsiTheme="minorHAnsi" w:cstheme="minorBidi"/>
          <w:color w:val="000000" w:themeColor="text1"/>
          <w:kern w:val="24"/>
          <w:sz w:val="28"/>
          <w:szCs w:val="28"/>
        </w:rPr>
        <w:t xml:space="preserve"> this measurement to this day.</w:t>
      </w:r>
    </w:p>
    <w:p w14:paraId="57CCF628" w14:textId="77777777" w:rsidR="009B477D" w:rsidRPr="00C13AFC"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6D0C395D"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C13AFC">
        <w:rPr>
          <w:rFonts w:asciiTheme="minorHAnsi" w:eastAsiaTheme="minorEastAsia" w:hAnsiTheme="minorHAnsi" w:cstheme="minorBidi"/>
          <w:color w:val="000000" w:themeColor="text1"/>
          <w:kern w:val="24"/>
          <w:sz w:val="28"/>
          <w:szCs w:val="28"/>
        </w:rPr>
        <w:t xml:space="preserve">The Information Age </w:t>
      </w:r>
      <w:r>
        <w:rPr>
          <w:rFonts w:asciiTheme="minorHAnsi" w:eastAsiaTheme="minorEastAsia" w:hAnsiTheme="minorHAnsi" w:cstheme="minorBidi"/>
          <w:color w:val="000000" w:themeColor="text1"/>
          <w:kern w:val="24"/>
          <w:sz w:val="28"/>
          <w:szCs w:val="28"/>
        </w:rPr>
        <w:t xml:space="preserve">has </w:t>
      </w:r>
      <w:r w:rsidRPr="00C13AFC">
        <w:rPr>
          <w:rFonts w:asciiTheme="minorHAnsi" w:eastAsiaTheme="minorEastAsia" w:hAnsiTheme="minorHAnsi" w:cstheme="minorBidi"/>
          <w:color w:val="000000" w:themeColor="text1"/>
          <w:kern w:val="24"/>
          <w:sz w:val="28"/>
          <w:szCs w:val="28"/>
        </w:rPr>
        <w:t xml:space="preserve">shifted society to an economy based on information technology and computerization </w:t>
      </w:r>
      <w:r>
        <w:rPr>
          <w:rFonts w:asciiTheme="minorHAnsi" w:eastAsiaTheme="minorEastAsia" w:hAnsiTheme="minorHAnsi" w:cstheme="minorBidi"/>
          <w:color w:val="000000" w:themeColor="text1"/>
          <w:kern w:val="24"/>
          <w:sz w:val="28"/>
          <w:szCs w:val="28"/>
        </w:rPr>
        <w:t>in which</w:t>
      </w:r>
      <w:r w:rsidRPr="00C13AFC">
        <w:rPr>
          <w:rFonts w:asciiTheme="minorHAnsi" w:eastAsiaTheme="minorEastAsia" w:hAnsiTheme="minorHAnsi" w:cstheme="minorBidi"/>
          <w:color w:val="000000" w:themeColor="text1"/>
          <w:kern w:val="24"/>
          <w:sz w:val="28"/>
          <w:szCs w:val="28"/>
        </w:rPr>
        <w:t xml:space="preserve"> centralized governments and </w:t>
      </w:r>
      <w:r>
        <w:rPr>
          <w:rFonts w:asciiTheme="minorHAnsi" w:eastAsiaTheme="minorEastAsia" w:hAnsiTheme="minorHAnsi" w:cstheme="minorBidi"/>
          <w:color w:val="000000" w:themeColor="text1"/>
          <w:kern w:val="24"/>
          <w:sz w:val="28"/>
          <w:szCs w:val="28"/>
        </w:rPr>
        <w:t>institutions of higher education</w:t>
      </w:r>
      <w:r w:rsidRPr="00C13AFC">
        <w:rPr>
          <w:rFonts w:asciiTheme="minorHAnsi" w:eastAsiaTheme="minorEastAsia" w:hAnsiTheme="minorHAnsi" w:cstheme="minorBidi"/>
          <w:color w:val="000000" w:themeColor="text1"/>
          <w:kern w:val="24"/>
          <w:sz w:val="28"/>
          <w:szCs w:val="28"/>
        </w:rPr>
        <w:t xml:space="preserve"> </w:t>
      </w:r>
      <w:r>
        <w:rPr>
          <w:rFonts w:asciiTheme="minorHAnsi" w:eastAsiaTheme="minorEastAsia" w:hAnsiTheme="minorHAnsi" w:cstheme="minorBidi"/>
          <w:color w:val="000000" w:themeColor="text1"/>
          <w:kern w:val="24"/>
          <w:sz w:val="28"/>
          <w:szCs w:val="28"/>
        </w:rPr>
        <w:t>a</w:t>
      </w:r>
      <w:r w:rsidRPr="00C13AFC">
        <w:rPr>
          <w:rFonts w:asciiTheme="minorHAnsi" w:eastAsiaTheme="minorEastAsia" w:hAnsiTheme="minorHAnsi" w:cstheme="minorBidi"/>
          <w:color w:val="000000" w:themeColor="text1"/>
          <w:kern w:val="24"/>
          <w:sz w:val="28"/>
          <w:szCs w:val="28"/>
        </w:rPr>
        <w:t xml:space="preserve">re no longer the </w:t>
      </w:r>
      <w:r>
        <w:rPr>
          <w:rFonts w:asciiTheme="minorHAnsi" w:eastAsiaTheme="minorEastAsia" w:hAnsiTheme="minorHAnsi" w:cstheme="minorBidi"/>
          <w:color w:val="000000" w:themeColor="text1"/>
          <w:kern w:val="24"/>
          <w:sz w:val="28"/>
          <w:szCs w:val="28"/>
        </w:rPr>
        <w:t xml:space="preserve">only </w:t>
      </w:r>
      <w:r w:rsidRPr="00C13AFC">
        <w:rPr>
          <w:rFonts w:asciiTheme="minorHAnsi" w:eastAsiaTheme="minorEastAsia" w:hAnsiTheme="minorHAnsi" w:cstheme="minorBidi"/>
          <w:color w:val="000000" w:themeColor="text1"/>
          <w:kern w:val="24"/>
          <w:sz w:val="28"/>
          <w:szCs w:val="28"/>
        </w:rPr>
        <w:t>source</w:t>
      </w:r>
      <w:r>
        <w:rPr>
          <w:rFonts w:asciiTheme="minorHAnsi" w:eastAsiaTheme="minorEastAsia" w:hAnsiTheme="minorHAnsi" w:cstheme="minorBidi"/>
          <w:color w:val="000000" w:themeColor="text1"/>
          <w:kern w:val="24"/>
          <w:sz w:val="28"/>
          <w:szCs w:val="28"/>
        </w:rPr>
        <w:t>s</w:t>
      </w:r>
      <w:r w:rsidRPr="00C13AFC">
        <w:rPr>
          <w:rFonts w:asciiTheme="minorHAnsi" w:eastAsiaTheme="minorEastAsia" w:hAnsiTheme="minorHAnsi" w:cstheme="minorBidi"/>
          <w:color w:val="000000" w:themeColor="text1"/>
          <w:kern w:val="24"/>
          <w:sz w:val="28"/>
          <w:szCs w:val="28"/>
        </w:rPr>
        <w:t xml:space="preserve"> for education and professional development. This </w:t>
      </w:r>
      <w:r>
        <w:rPr>
          <w:rFonts w:asciiTheme="minorHAnsi" w:eastAsiaTheme="minorEastAsia" w:hAnsiTheme="minorHAnsi" w:cstheme="minorBidi"/>
          <w:color w:val="000000" w:themeColor="text1"/>
          <w:kern w:val="24"/>
          <w:sz w:val="28"/>
          <w:szCs w:val="28"/>
        </w:rPr>
        <w:t xml:space="preserve">has </w:t>
      </w:r>
      <w:r w:rsidRPr="00C13AFC">
        <w:rPr>
          <w:rFonts w:asciiTheme="minorHAnsi" w:eastAsiaTheme="minorEastAsia" w:hAnsiTheme="minorHAnsi" w:cstheme="minorBidi"/>
          <w:color w:val="000000" w:themeColor="text1"/>
          <w:kern w:val="24"/>
          <w:sz w:val="28"/>
          <w:szCs w:val="28"/>
        </w:rPr>
        <w:t xml:space="preserve">provided unprecedented access to information, individual mobility and professional flexibility and </w:t>
      </w:r>
      <w:r>
        <w:rPr>
          <w:rFonts w:asciiTheme="minorHAnsi" w:eastAsiaTheme="minorEastAsia" w:hAnsiTheme="minorHAnsi" w:cstheme="minorBidi"/>
          <w:color w:val="000000" w:themeColor="text1"/>
          <w:kern w:val="24"/>
          <w:sz w:val="28"/>
          <w:szCs w:val="28"/>
        </w:rPr>
        <w:t xml:space="preserve">has </w:t>
      </w:r>
      <w:r w:rsidRPr="00C13AFC">
        <w:rPr>
          <w:rFonts w:asciiTheme="minorHAnsi" w:eastAsiaTheme="minorEastAsia" w:hAnsiTheme="minorHAnsi" w:cstheme="minorBidi"/>
          <w:color w:val="000000" w:themeColor="text1"/>
          <w:kern w:val="24"/>
          <w:sz w:val="28"/>
          <w:szCs w:val="28"/>
        </w:rPr>
        <w:t>resulted in h</w:t>
      </w:r>
      <w:r w:rsidRPr="00C13AFC">
        <w:rPr>
          <w:rFonts w:asciiTheme="minorHAnsi" w:hAnsiTheme="minorHAnsi"/>
          <w:color w:val="000000" w:themeColor="text1"/>
          <w:kern w:val="24"/>
          <w:sz w:val="28"/>
          <w:szCs w:val="28"/>
        </w:rPr>
        <w:t xml:space="preserve">igh demand for college-level learning and skills </w:t>
      </w:r>
      <w:r>
        <w:rPr>
          <w:rFonts w:asciiTheme="minorHAnsi" w:hAnsiTheme="minorHAnsi"/>
          <w:color w:val="000000" w:themeColor="text1"/>
          <w:kern w:val="24"/>
          <w:sz w:val="28"/>
          <w:szCs w:val="28"/>
        </w:rPr>
        <w:t>from non-traditional sources as people navigate the</w:t>
      </w:r>
      <w:r w:rsidRPr="00C13AFC">
        <w:rPr>
          <w:rFonts w:asciiTheme="minorHAnsi" w:hAnsiTheme="minorHAnsi"/>
          <w:color w:val="000000" w:themeColor="text1"/>
          <w:kern w:val="24"/>
          <w:sz w:val="28"/>
          <w:szCs w:val="28"/>
        </w:rPr>
        <w:t xml:space="preserve"> rapidly changing work environment</w:t>
      </w:r>
      <w:r w:rsidRPr="00C13AFC">
        <w:rPr>
          <w:rFonts w:asciiTheme="minorHAnsi" w:eastAsiaTheme="minorEastAsia" w:hAnsiTheme="minorHAnsi" w:cstheme="minorBidi"/>
          <w:color w:val="000000" w:themeColor="text1"/>
          <w:kern w:val="24"/>
          <w:sz w:val="28"/>
          <w:szCs w:val="28"/>
        </w:rPr>
        <w:t xml:space="preserve">. </w:t>
      </w:r>
    </w:p>
    <w:p w14:paraId="0901A704"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1F70EC3E"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C13AFC">
        <w:rPr>
          <w:rFonts w:asciiTheme="minorHAnsi" w:hAnsiTheme="minorHAnsi"/>
          <w:color w:val="000000" w:themeColor="text1"/>
          <w:kern w:val="24"/>
          <w:sz w:val="28"/>
          <w:szCs w:val="28"/>
        </w:rPr>
        <w:t xml:space="preserve">Colleges can </w:t>
      </w:r>
      <w:r>
        <w:rPr>
          <w:rFonts w:asciiTheme="minorHAnsi" w:hAnsiTheme="minorHAnsi"/>
          <w:color w:val="000000" w:themeColor="text1"/>
          <w:kern w:val="24"/>
          <w:sz w:val="28"/>
          <w:szCs w:val="28"/>
        </w:rPr>
        <w:t xml:space="preserve">continue to </w:t>
      </w:r>
      <w:r w:rsidRPr="00C13AFC">
        <w:rPr>
          <w:rFonts w:asciiTheme="minorHAnsi" w:hAnsiTheme="minorHAnsi"/>
          <w:color w:val="000000" w:themeColor="text1"/>
          <w:kern w:val="24"/>
          <w:sz w:val="28"/>
          <w:szCs w:val="28"/>
        </w:rPr>
        <w:t>serve</w:t>
      </w:r>
      <w:r>
        <w:rPr>
          <w:rFonts w:asciiTheme="minorHAnsi" w:hAnsiTheme="minorHAnsi"/>
          <w:color w:val="000000" w:themeColor="text1"/>
          <w:kern w:val="24"/>
          <w:sz w:val="28"/>
          <w:szCs w:val="28"/>
        </w:rPr>
        <w:t xml:space="preserve">, not only in the traditional sense, but by </w:t>
      </w:r>
      <w:r w:rsidRPr="00C13AFC">
        <w:rPr>
          <w:rFonts w:asciiTheme="minorHAnsi" w:hAnsiTheme="minorHAnsi"/>
          <w:color w:val="000000" w:themeColor="text1"/>
          <w:kern w:val="24"/>
          <w:sz w:val="28"/>
          <w:szCs w:val="28"/>
        </w:rPr>
        <w:t>providing certificate</w:t>
      </w:r>
      <w:r>
        <w:rPr>
          <w:rFonts w:asciiTheme="minorHAnsi" w:hAnsiTheme="minorHAnsi"/>
          <w:color w:val="000000" w:themeColor="text1"/>
          <w:kern w:val="24"/>
          <w:sz w:val="28"/>
          <w:szCs w:val="28"/>
        </w:rPr>
        <w:t>s, course</w:t>
      </w:r>
      <w:r w:rsidRPr="00C13AFC">
        <w:rPr>
          <w:rFonts w:asciiTheme="minorHAnsi" w:hAnsiTheme="minorHAnsi"/>
          <w:color w:val="000000" w:themeColor="text1"/>
          <w:kern w:val="24"/>
          <w:sz w:val="28"/>
          <w:szCs w:val="28"/>
        </w:rPr>
        <w:t>s and other non-credit pathways to jobs and career ladders</w:t>
      </w:r>
      <w:r>
        <w:rPr>
          <w:rFonts w:asciiTheme="minorHAnsi" w:eastAsiaTheme="minorEastAsia" w:hAnsiTheme="minorHAnsi" w:cstheme="minorBidi"/>
          <w:color w:val="000000" w:themeColor="text1"/>
          <w:kern w:val="24"/>
          <w:sz w:val="28"/>
          <w:szCs w:val="28"/>
        </w:rPr>
        <w:t xml:space="preserve">. </w:t>
      </w:r>
      <w:r w:rsidRPr="002B02DF">
        <w:rPr>
          <w:rFonts w:asciiTheme="minorHAnsi" w:hAnsiTheme="minorHAnsi"/>
          <w:sz w:val="28"/>
          <w:szCs w:val="28"/>
        </w:rPr>
        <w:t xml:space="preserve">There is a </w:t>
      </w:r>
      <w:r>
        <w:rPr>
          <w:rFonts w:asciiTheme="minorHAnsi" w:hAnsiTheme="minorHAnsi"/>
          <w:sz w:val="28"/>
          <w:szCs w:val="28"/>
        </w:rPr>
        <w:t>need</w:t>
      </w:r>
      <w:r w:rsidRPr="002B02DF">
        <w:rPr>
          <w:rFonts w:asciiTheme="minorHAnsi" w:hAnsiTheme="minorHAnsi"/>
          <w:sz w:val="28"/>
          <w:szCs w:val="28"/>
        </w:rPr>
        <w:t xml:space="preserve"> for college-level learning, skills and credentials </w:t>
      </w:r>
      <w:r>
        <w:rPr>
          <w:rFonts w:asciiTheme="minorHAnsi" w:hAnsiTheme="minorHAnsi"/>
          <w:sz w:val="28"/>
          <w:szCs w:val="28"/>
        </w:rPr>
        <w:t>in order to be prepared for</w:t>
      </w:r>
      <w:r w:rsidRPr="002B02DF">
        <w:rPr>
          <w:rFonts w:asciiTheme="minorHAnsi" w:hAnsiTheme="minorHAnsi"/>
          <w:sz w:val="28"/>
          <w:szCs w:val="28"/>
        </w:rPr>
        <w:t xml:space="preserve"> positions and industries that were unimaginable a few years ago.  </w:t>
      </w:r>
      <w:r>
        <w:rPr>
          <w:rFonts w:asciiTheme="minorHAnsi" w:eastAsiaTheme="minorEastAsia" w:hAnsiTheme="minorHAnsi" w:cstheme="minorBidi"/>
          <w:color w:val="000000" w:themeColor="text1"/>
          <w:kern w:val="24"/>
          <w:sz w:val="28"/>
          <w:szCs w:val="28"/>
        </w:rPr>
        <w:t>T</w:t>
      </w:r>
      <w:r w:rsidRPr="00C13AFC">
        <w:rPr>
          <w:rFonts w:asciiTheme="minorHAnsi" w:eastAsiaTheme="minorEastAsia" w:hAnsiTheme="minorHAnsi" w:cstheme="minorBidi"/>
          <w:color w:val="000000" w:themeColor="text1"/>
          <w:kern w:val="24"/>
          <w:sz w:val="28"/>
          <w:szCs w:val="28"/>
        </w:rPr>
        <w:t>here is</w:t>
      </w:r>
      <w:r>
        <w:rPr>
          <w:rFonts w:asciiTheme="minorHAnsi" w:eastAsiaTheme="minorEastAsia" w:hAnsiTheme="minorHAnsi" w:cstheme="minorBidi"/>
          <w:color w:val="000000" w:themeColor="text1"/>
          <w:kern w:val="24"/>
          <w:sz w:val="28"/>
          <w:szCs w:val="28"/>
        </w:rPr>
        <w:t>, therefore, an</w:t>
      </w:r>
      <w:r w:rsidRPr="00C13AFC">
        <w:rPr>
          <w:rFonts w:asciiTheme="minorHAnsi" w:eastAsiaTheme="minorEastAsia" w:hAnsiTheme="minorHAnsi" w:cstheme="minorBidi"/>
          <w:color w:val="000000" w:themeColor="text1"/>
          <w:kern w:val="24"/>
          <w:sz w:val="28"/>
          <w:szCs w:val="28"/>
        </w:rPr>
        <w:t xml:space="preserve"> increasing need to acknowledge </w:t>
      </w:r>
      <w:r>
        <w:rPr>
          <w:rFonts w:asciiTheme="minorHAnsi" w:eastAsiaTheme="minorEastAsia" w:hAnsiTheme="minorHAnsi" w:cstheme="minorBidi"/>
          <w:color w:val="000000" w:themeColor="text1"/>
          <w:kern w:val="24"/>
          <w:sz w:val="28"/>
          <w:szCs w:val="28"/>
        </w:rPr>
        <w:t xml:space="preserve">and classify </w:t>
      </w:r>
      <w:r w:rsidRPr="00C13AFC">
        <w:rPr>
          <w:rFonts w:asciiTheme="minorHAnsi" w:eastAsiaTheme="minorEastAsia" w:hAnsiTheme="minorHAnsi" w:cstheme="minorBidi"/>
          <w:color w:val="000000" w:themeColor="text1"/>
          <w:kern w:val="24"/>
          <w:sz w:val="28"/>
          <w:szCs w:val="28"/>
        </w:rPr>
        <w:t>college-level learning acquired through means other than traditional credit courses</w:t>
      </w:r>
      <w:r>
        <w:rPr>
          <w:rFonts w:asciiTheme="minorHAnsi" w:eastAsiaTheme="minorEastAsia" w:hAnsiTheme="minorHAnsi" w:cstheme="minorBidi"/>
          <w:color w:val="000000" w:themeColor="text1"/>
          <w:kern w:val="24"/>
          <w:sz w:val="28"/>
          <w:szCs w:val="28"/>
        </w:rPr>
        <w:t xml:space="preserve">, while </w:t>
      </w:r>
      <w:r w:rsidRPr="00C13AFC">
        <w:rPr>
          <w:rFonts w:asciiTheme="minorHAnsi" w:eastAsiaTheme="minorEastAsia" w:hAnsiTheme="minorHAnsi" w:cstheme="minorBidi"/>
          <w:color w:val="000000" w:themeColor="text1"/>
          <w:kern w:val="24"/>
          <w:sz w:val="28"/>
          <w:szCs w:val="28"/>
        </w:rPr>
        <w:t xml:space="preserve">maintaining the integrity </w:t>
      </w:r>
      <w:r>
        <w:rPr>
          <w:rFonts w:asciiTheme="minorHAnsi" w:eastAsiaTheme="minorEastAsia" w:hAnsiTheme="minorHAnsi" w:cstheme="minorBidi"/>
          <w:color w:val="000000" w:themeColor="text1"/>
          <w:kern w:val="24"/>
          <w:sz w:val="28"/>
          <w:szCs w:val="28"/>
        </w:rPr>
        <w:t xml:space="preserve">represented by </w:t>
      </w:r>
      <w:r w:rsidRPr="00C13AFC">
        <w:rPr>
          <w:rFonts w:asciiTheme="minorHAnsi" w:eastAsiaTheme="minorEastAsia" w:hAnsiTheme="minorHAnsi" w:cstheme="minorBidi"/>
          <w:color w:val="000000" w:themeColor="text1"/>
          <w:kern w:val="24"/>
          <w:sz w:val="28"/>
          <w:szCs w:val="28"/>
        </w:rPr>
        <w:t>the Carnegie Unit.</w:t>
      </w:r>
      <w:r>
        <w:rPr>
          <w:rFonts w:asciiTheme="minorHAnsi" w:eastAsiaTheme="minorEastAsia" w:hAnsiTheme="minorHAnsi" w:cstheme="minorBidi"/>
          <w:color w:val="000000" w:themeColor="text1"/>
          <w:kern w:val="24"/>
          <w:sz w:val="28"/>
          <w:szCs w:val="28"/>
        </w:rPr>
        <w:t xml:space="preserve"> The Lumina Foundation describes this an important part of the</w:t>
      </w:r>
      <w:r w:rsidRPr="00C13AFC">
        <w:rPr>
          <w:rFonts w:asciiTheme="minorHAnsi" w:eastAsiaTheme="minorEastAsia" w:hAnsiTheme="minorHAnsi" w:cstheme="minorBidi"/>
          <w:color w:val="000000" w:themeColor="text1"/>
          <w:kern w:val="24"/>
          <w:sz w:val="28"/>
          <w:szCs w:val="28"/>
        </w:rPr>
        <w:t xml:space="preserve"> “Global Knowledge Economy</w:t>
      </w:r>
      <w:r>
        <w:rPr>
          <w:rFonts w:asciiTheme="minorHAnsi" w:eastAsiaTheme="minorEastAsia" w:hAnsiTheme="minorHAnsi" w:cstheme="minorBidi"/>
          <w:color w:val="000000" w:themeColor="text1"/>
          <w:kern w:val="24"/>
          <w:sz w:val="28"/>
          <w:szCs w:val="28"/>
        </w:rPr>
        <w:t>,</w:t>
      </w:r>
      <w:r w:rsidRPr="00C13AFC">
        <w:rPr>
          <w:rFonts w:asciiTheme="minorHAnsi" w:eastAsiaTheme="minorEastAsia" w:hAnsiTheme="minorHAnsi" w:cstheme="minorBidi"/>
          <w:color w:val="000000" w:themeColor="text1"/>
          <w:kern w:val="24"/>
          <w:sz w:val="28"/>
          <w:szCs w:val="28"/>
        </w:rPr>
        <w:t xml:space="preserve">” </w:t>
      </w:r>
      <w:r>
        <w:rPr>
          <w:rFonts w:asciiTheme="minorHAnsi" w:eastAsiaTheme="minorEastAsia" w:hAnsiTheme="minorHAnsi" w:cstheme="minorBidi"/>
          <w:color w:val="000000" w:themeColor="text1"/>
          <w:kern w:val="24"/>
          <w:sz w:val="28"/>
          <w:szCs w:val="28"/>
        </w:rPr>
        <w:t>in which</w:t>
      </w:r>
      <w:r w:rsidRPr="00C13AFC">
        <w:rPr>
          <w:rFonts w:asciiTheme="minorHAnsi" w:eastAsiaTheme="minorEastAsia" w:hAnsiTheme="minorHAnsi" w:cstheme="minorBidi"/>
          <w:color w:val="000000" w:themeColor="text1"/>
          <w:kern w:val="24"/>
          <w:sz w:val="28"/>
          <w:szCs w:val="28"/>
        </w:rPr>
        <w:t xml:space="preserve"> the credential has emerged as a transnational, interdisciplinary signal of capability and skill.</w:t>
      </w:r>
      <w:r>
        <w:rPr>
          <w:rFonts w:asciiTheme="minorHAnsi" w:eastAsiaTheme="minorEastAsia" w:hAnsiTheme="minorHAnsi" w:cstheme="minorBidi"/>
          <w:color w:val="000000" w:themeColor="text1"/>
          <w:kern w:val="24"/>
          <w:sz w:val="28"/>
          <w:szCs w:val="28"/>
        </w:rPr>
        <w:t xml:space="preserve"> </w:t>
      </w:r>
    </w:p>
    <w:p w14:paraId="4A23CB4F"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5A3B65CC" w14:textId="77777777" w:rsidR="009B477D" w:rsidRPr="002B02DF" w:rsidRDefault="009B477D" w:rsidP="009B477D">
      <w:pPr>
        <w:pStyle w:val="NormalWeb"/>
        <w:spacing w:before="0" w:beforeAutospacing="0" w:after="0" w:afterAutospacing="0"/>
        <w:rPr>
          <w:rFonts w:asciiTheme="minorHAnsi" w:hAnsiTheme="minorHAnsi"/>
          <w:sz w:val="28"/>
          <w:szCs w:val="28"/>
        </w:rPr>
      </w:pPr>
      <w:r w:rsidRPr="00E3278D">
        <w:rPr>
          <w:rFonts w:asciiTheme="minorHAnsi" w:hAnsiTheme="minorHAnsi"/>
          <w:sz w:val="28"/>
          <w:szCs w:val="28"/>
        </w:rPr>
        <w:t xml:space="preserve">Credentials have proliferated to meet the needs of </w:t>
      </w:r>
      <w:r>
        <w:rPr>
          <w:rFonts w:asciiTheme="minorHAnsi" w:hAnsiTheme="minorHAnsi"/>
          <w:sz w:val="28"/>
          <w:szCs w:val="28"/>
        </w:rPr>
        <w:t xml:space="preserve">our </w:t>
      </w:r>
      <w:r w:rsidRPr="00E3278D">
        <w:rPr>
          <w:rFonts w:asciiTheme="minorHAnsi" w:hAnsiTheme="minorHAnsi"/>
          <w:sz w:val="28"/>
          <w:szCs w:val="28"/>
        </w:rPr>
        <w:t>diverse 21</w:t>
      </w:r>
      <w:r w:rsidRPr="00E3278D">
        <w:rPr>
          <w:rFonts w:asciiTheme="minorHAnsi" w:hAnsiTheme="minorHAnsi"/>
          <w:position w:val="7"/>
          <w:sz w:val="28"/>
          <w:szCs w:val="28"/>
          <w:vertAlign w:val="superscript"/>
        </w:rPr>
        <w:t>st</w:t>
      </w:r>
      <w:r w:rsidRPr="00E3278D">
        <w:rPr>
          <w:rFonts w:asciiTheme="minorHAnsi" w:hAnsiTheme="minorHAnsi"/>
          <w:sz w:val="28"/>
          <w:szCs w:val="28"/>
        </w:rPr>
        <w:t xml:space="preserve"> century knowledge economy.</w:t>
      </w:r>
      <w:r w:rsidRPr="002B02DF">
        <w:rPr>
          <w:rFonts w:asciiTheme="minorHAnsi" w:hAnsiTheme="minorHAnsi"/>
          <w:sz w:val="28"/>
          <w:szCs w:val="28"/>
        </w:rPr>
        <w:t xml:space="preserve"> Credentials attesting to what people know and are able to do include traditional degrees, diplomas, licenses, and industry certifications. These </w:t>
      </w:r>
      <w:r w:rsidRPr="002B02DF">
        <w:rPr>
          <w:rFonts w:asciiTheme="minorHAnsi" w:hAnsiTheme="minorHAnsi"/>
          <w:bCs/>
          <w:sz w:val="28"/>
          <w:szCs w:val="28"/>
        </w:rPr>
        <w:t>credentials</w:t>
      </w:r>
      <w:r w:rsidRPr="002B02DF">
        <w:rPr>
          <w:rFonts w:asciiTheme="minorHAnsi" w:hAnsiTheme="minorHAnsi"/>
          <w:sz w:val="28"/>
          <w:szCs w:val="28"/>
        </w:rPr>
        <w:t xml:space="preserve"> are documented awards by responsible and authorized entities that have determined that an individual has achieved specific learning outcomes relative to a given standard.  </w:t>
      </w:r>
    </w:p>
    <w:p w14:paraId="33BD239E"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7A0C3C70" w14:textId="77777777" w:rsidR="009B477D" w:rsidRPr="00C13AFC" w:rsidRDefault="009B477D" w:rsidP="009B477D">
      <w:pPr>
        <w:rPr>
          <w:sz w:val="28"/>
          <w:szCs w:val="28"/>
        </w:rPr>
      </w:pPr>
      <w:r w:rsidRPr="009D5022">
        <w:rPr>
          <w:color w:val="000000" w:themeColor="text1"/>
          <w:kern w:val="24"/>
          <w:sz w:val="28"/>
          <w:szCs w:val="28"/>
        </w:rPr>
        <w:t xml:space="preserve">There is </w:t>
      </w:r>
      <w:r>
        <w:rPr>
          <w:color w:val="000000" w:themeColor="text1"/>
          <w:kern w:val="24"/>
          <w:sz w:val="28"/>
          <w:szCs w:val="28"/>
        </w:rPr>
        <w:t xml:space="preserve">also </w:t>
      </w:r>
      <w:r w:rsidRPr="009D5022">
        <w:rPr>
          <w:color w:val="000000" w:themeColor="text1"/>
          <w:kern w:val="24"/>
          <w:sz w:val="28"/>
          <w:szCs w:val="28"/>
        </w:rPr>
        <w:t>a</w:t>
      </w:r>
      <w:r>
        <w:rPr>
          <w:color w:val="000000" w:themeColor="text1"/>
          <w:kern w:val="24"/>
          <w:sz w:val="28"/>
          <w:szCs w:val="28"/>
        </w:rPr>
        <w:t>n evolving</w:t>
      </w:r>
      <w:r w:rsidRPr="009D5022">
        <w:rPr>
          <w:color w:val="000000" w:themeColor="text1"/>
          <w:kern w:val="24"/>
          <w:sz w:val="28"/>
          <w:szCs w:val="28"/>
        </w:rPr>
        <w:t xml:space="preserve"> world of alternative credentials, badges, certificates, licenses and assessment methodologies,</w:t>
      </w:r>
      <w:r>
        <w:rPr>
          <w:color w:val="000000" w:themeColor="text1"/>
          <w:kern w:val="24"/>
          <w:sz w:val="28"/>
          <w:szCs w:val="28"/>
        </w:rPr>
        <w:t xml:space="preserve"> which can be evaluated as qualifying for</w:t>
      </w:r>
      <w:r w:rsidRPr="009D5022">
        <w:rPr>
          <w:color w:val="000000" w:themeColor="text1"/>
          <w:kern w:val="24"/>
          <w:sz w:val="28"/>
          <w:szCs w:val="28"/>
        </w:rPr>
        <w:t xml:space="preserve"> college credit.</w:t>
      </w:r>
      <w:r>
        <w:rPr>
          <w:color w:val="000000" w:themeColor="text1"/>
          <w:kern w:val="24"/>
          <w:sz w:val="28"/>
          <w:szCs w:val="28"/>
        </w:rPr>
        <w:t xml:space="preserve"> </w:t>
      </w:r>
      <w:r w:rsidRPr="00C13AFC">
        <w:rPr>
          <w:sz w:val="28"/>
          <w:szCs w:val="28"/>
        </w:rPr>
        <w:t xml:space="preserve">According to </w:t>
      </w:r>
      <w:r>
        <w:rPr>
          <w:sz w:val="28"/>
          <w:szCs w:val="28"/>
        </w:rPr>
        <w:t xml:space="preserve">the </w:t>
      </w:r>
      <w:r w:rsidRPr="00C13AFC">
        <w:rPr>
          <w:sz w:val="28"/>
          <w:szCs w:val="28"/>
        </w:rPr>
        <w:t>A</w:t>
      </w:r>
      <w:r>
        <w:rPr>
          <w:sz w:val="28"/>
          <w:szCs w:val="28"/>
        </w:rPr>
        <w:t xml:space="preserve">merican </w:t>
      </w:r>
      <w:r w:rsidRPr="00C13AFC">
        <w:rPr>
          <w:sz w:val="28"/>
          <w:szCs w:val="28"/>
        </w:rPr>
        <w:t>C</w:t>
      </w:r>
      <w:r>
        <w:rPr>
          <w:sz w:val="28"/>
          <w:szCs w:val="28"/>
        </w:rPr>
        <w:t xml:space="preserve">ouncil on </w:t>
      </w:r>
      <w:r w:rsidRPr="00C13AFC">
        <w:rPr>
          <w:sz w:val="28"/>
          <w:szCs w:val="28"/>
        </w:rPr>
        <w:t>E</w:t>
      </w:r>
      <w:r>
        <w:rPr>
          <w:sz w:val="28"/>
          <w:szCs w:val="28"/>
        </w:rPr>
        <w:t>ducation</w:t>
      </w:r>
      <w:r w:rsidRPr="00C13AFC">
        <w:rPr>
          <w:sz w:val="28"/>
          <w:szCs w:val="28"/>
        </w:rPr>
        <w:t xml:space="preserve">’s  study: </w:t>
      </w:r>
      <w:r w:rsidRPr="00FF3264">
        <w:rPr>
          <w:i/>
          <w:sz w:val="28"/>
          <w:szCs w:val="28"/>
        </w:rPr>
        <w:t>Quality Dimensions for Connected Credentials</w:t>
      </w:r>
      <w:r>
        <w:rPr>
          <w:i/>
          <w:sz w:val="28"/>
          <w:szCs w:val="28"/>
        </w:rPr>
        <w:t>,</w:t>
      </w:r>
      <w:r>
        <w:rPr>
          <w:sz w:val="28"/>
          <w:szCs w:val="28"/>
        </w:rPr>
        <w:t xml:space="preserve"> o</w:t>
      </w:r>
      <w:r w:rsidRPr="00C13AFC">
        <w:rPr>
          <w:sz w:val="28"/>
          <w:szCs w:val="28"/>
        </w:rPr>
        <w:t xml:space="preserve">ver 26,000 educational programs in the US now offer </w:t>
      </w:r>
      <w:r w:rsidRPr="00C13AFC">
        <w:rPr>
          <w:sz w:val="28"/>
          <w:szCs w:val="28"/>
        </w:rPr>
        <w:lastRenderedPageBreak/>
        <w:t>certificates and</w:t>
      </w:r>
      <w:r>
        <w:rPr>
          <w:sz w:val="28"/>
          <w:szCs w:val="28"/>
        </w:rPr>
        <w:t xml:space="preserve"> that</w:t>
      </w:r>
      <w:r w:rsidRPr="00C13AFC">
        <w:rPr>
          <w:sz w:val="28"/>
          <w:szCs w:val="28"/>
        </w:rPr>
        <w:t xml:space="preserve"> sub-baccalaureate certificates represent over 25% of all US postsecondary credentials. A shared understanding of the value of the</w:t>
      </w:r>
      <w:r>
        <w:rPr>
          <w:sz w:val="28"/>
          <w:szCs w:val="28"/>
        </w:rPr>
        <w:t>se</w:t>
      </w:r>
      <w:r w:rsidRPr="00C13AFC">
        <w:rPr>
          <w:sz w:val="28"/>
          <w:szCs w:val="28"/>
        </w:rPr>
        <w:t xml:space="preserve"> credentials is needed for students, educational institutions and employers. </w:t>
      </w:r>
    </w:p>
    <w:p w14:paraId="42777EF0" w14:textId="77777777" w:rsidR="009B477D" w:rsidRDefault="009B477D" w:rsidP="009B477D">
      <w:pPr>
        <w:rPr>
          <w:color w:val="000000" w:themeColor="text1"/>
          <w:kern w:val="24"/>
          <w:sz w:val="28"/>
          <w:szCs w:val="28"/>
        </w:rPr>
      </w:pPr>
    </w:p>
    <w:p w14:paraId="7D4D868A" w14:textId="77777777" w:rsidR="009B477D" w:rsidRPr="009D5022" w:rsidRDefault="009B477D" w:rsidP="009B477D">
      <w:pPr>
        <w:rPr>
          <w:color w:val="000000" w:themeColor="text1"/>
          <w:kern w:val="24"/>
          <w:sz w:val="28"/>
          <w:szCs w:val="28"/>
        </w:rPr>
      </w:pPr>
      <w:r>
        <w:rPr>
          <w:color w:val="000000" w:themeColor="text1"/>
          <w:kern w:val="24"/>
          <w:sz w:val="28"/>
          <w:szCs w:val="28"/>
        </w:rPr>
        <w:t>The following is an overview of various different sorts of credentials and how they might be used to recognize learning and accelerate degree completion.</w:t>
      </w:r>
    </w:p>
    <w:p w14:paraId="222F55AB" w14:textId="77777777" w:rsidR="009B477D" w:rsidRDefault="009B477D" w:rsidP="009B477D">
      <w:pPr>
        <w:rPr>
          <w:b/>
          <w:color w:val="000000" w:themeColor="text1"/>
          <w:kern w:val="24"/>
          <w:sz w:val="28"/>
          <w:szCs w:val="28"/>
        </w:rPr>
      </w:pPr>
    </w:p>
    <w:p w14:paraId="0CF64C94" w14:textId="77777777" w:rsidR="009B477D" w:rsidRPr="00C13AFC" w:rsidRDefault="009B477D" w:rsidP="009B477D">
      <w:pPr>
        <w:rPr>
          <w:b/>
          <w:color w:val="000000" w:themeColor="text1"/>
          <w:kern w:val="24"/>
          <w:sz w:val="28"/>
          <w:szCs w:val="28"/>
        </w:rPr>
      </w:pPr>
      <w:r>
        <w:rPr>
          <w:b/>
          <w:color w:val="000000" w:themeColor="text1"/>
          <w:kern w:val="24"/>
          <w:sz w:val="28"/>
          <w:szCs w:val="28"/>
        </w:rPr>
        <w:t xml:space="preserve">1. </w:t>
      </w:r>
      <w:r w:rsidRPr="00C13AFC">
        <w:rPr>
          <w:b/>
          <w:color w:val="000000" w:themeColor="text1"/>
          <w:kern w:val="24"/>
          <w:sz w:val="28"/>
          <w:szCs w:val="28"/>
        </w:rPr>
        <w:t>Micro-</w:t>
      </w:r>
      <w:r>
        <w:rPr>
          <w:b/>
          <w:color w:val="000000" w:themeColor="text1"/>
          <w:kern w:val="24"/>
          <w:sz w:val="28"/>
          <w:szCs w:val="28"/>
        </w:rPr>
        <w:t>C</w:t>
      </w:r>
      <w:r w:rsidRPr="00C13AFC">
        <w:rPr>
          <w:b/>
          <w:color w:val="000000" w:themeColor="text1"/>
          <w:kern w:val="24"/>
          <w:sz w:val="28"/>
          <w:szCs w:val="28"/>
        </w:rPr>
        <w:t xml:space="preserve">redentials and </w:t>
      </w:r>
      <w:r>
        <w:rPr>
          <w:b/>
          <w:color w:val="000000" w:themeColor="text1"/>
          <w:kern w:val="24"/>
          <w:sz w:val="28"/>
          <w:szCs w:val="28"/>
        </w:rPr>
        <w:t>B</w:t>
      </w:r>
      <w:r w:rsidRPr="00C13AFC">
        <w:rPr>
          <w:b/>
          <w:color w:val="000000" w:themeColor="text1"/>
          <w:kern w:val="24"/>
          <w:sz w:val="28"/>
          <w:szCs w:val="28"/>
        </w:rPr>
        <w:t>adges</w:t>
      </w:r>
    </w:p>
    <w:p w14:paraId="5FE479DE" w14:textId="77777777" w:rsidR="009B477D" w:rsidRPr="00C13AFC" w:rsidRDefault="009B477D" w:rsidP="009B477D">
      <w:pPr>
        <w:rPr>
          <w:color w:val="000000" w:themeColor="text1"/>
          <w:kern w:val="24"/>
          <w:sz w:val="28"/>
          <w:szCs w:val="28"/>
        </w:rPr>
      </w:pPr>
    </w:p>
    <w:p w14:paraId="5B242B03" w14:textId="77777777" w:rsidR="009B477D" w:rsidRDefault="009B477D" w:rsidP="009B477D">
      <w:pPr>
        <w:rPr>
          <w:color w:val="000000" w:themeColor="text1"/>
          <w:kern w:val="24"/>
          <w:sz w:val="28"/>
          <w:szCs w:val="28"/>
        </w:rPr>
      </w:pPr>
      <w:r w:rsidRPr="00C13AFC">
        <w:rPr>
          <w:rFonts w:eastAsia="Times New Roman" w:cs="Times New Roman"/>
          <w:sz w:val="28"/>
          <w:szCs w:val="28"/>
        </w:rPr>
        <w:t>A</w:t>
      </w:r>
      <w:r w:rsidRPr="00C13AFC">
        <w:rPr>
          <w:color w:val="000000" w:themeColor="text1"/>
          <w:kern w:val="24"/>
          <w:sz w:val="28"/>
          <w:szCs w:val="28"/>
        </w:rPr>
        <w:t xml:space="preserve"> Micro-Credential is a</w:t>
      </w:r>
      <w:r w:rsidRPr="00C13AFC">
        <w:rPr>
          <w:sz w:val="28"/>
          <w:szCs w:val="28"/>
        </w:rPr>
        <w:t xml:space="preserve"> certification offering evidence that an individual has mastered a specific skill or area of knowledge with links to detailed criteria, endorsements or demonstrations of their learning</w:t>
      </w:r>
      <w:r>
        <w:rPr>
          <w:sz w:val="28"/>
          <w:szCs w:val="28"/>
        </w:rPr>
        <w:t xml:space="preserve">.  They may be credit or non-credit, and may be offered online, in person or a hybrid of both and take numerous forms. </w:t>
      </w:r>
      <w:r w:rsidRPr="00C13AFC">
        <w:rPr>
          <w:color w:val="000000" w:themeColor="text1"/>
          <w:kern w:val="24"/>
          <w:sz w:val="28"/>
          <w:szCs w:val="28"/>
        </w:rPr>
        <w:t xml:space="preserve">Badges, for example, </w:t>
      </w:r>
      <w:r>
        <w:rPr>
          <w:color w:val="000000" w:themeColor="text1"/>
          <w:kern w:val="24"/>
          <w:sz w:val="28"/>
          <w:szCs w:val="28"/>
        </w:rPr>
        <w:t xml:space="preserve">are a denotation that </w:t>
      </w:r>
      <w:r w:rsidRPr="00C13AFC">
        <w:rPr>
          <w:color w:val="000000" w:themeColor="text1"/>
          <w:kern w:val="24"/>
          <w:sz w:val="28"/>
          <w:szCs w:val="28"/>
        </w:rPr>
        <w:t>signif</w:t>
      </w:r>
      <w:r>
        <w:rPr>
          <w:color w:val="000000" w:themeColor="text1"/>
          <w:kern w:val="24"/>
          <w:sz w:val="28"/>
          <w:szCs w:val="28"/>
        </w:rPr>
        <w:t>ies</w:t>
      </w:r>
      <w:r w:rsidRPr="00C13AFC">
        <w:rPr>
          <w:color w:val="000000" w:themeColor="text1"/>
          <w:kern w:val="24"/>
          <w:sz w:val="28"/>
          <w:szCs w:val="28"/>
        </w:rPr>
        <w:t xml:space="preserve"> accomplishments such as the completion of a project, </w:t>
      </w:r>
      <w:r>
        <w:rPr>
          <w:color w:val="000000" w:themeColor="text1"/>
          <w:kern w:val="24"/>
          <w:sz w:val="28"/>
          <w:szCs w:val="28"/>
        </w:rPr>
        <w:t xml:space="preserve">the </w:t>
      </w:r>
      <w:r w:rsidRPr="00C13AFC">
        <w:rPr>
          <w:color w:val="000000" w:themeColor="text1"/>
          <w:kern w:val="24"/>
          <w:sz w:val="28"/>
          <w:szCs w:val="28"/>
        </w:rPr>
        <w:t xml:space="preserve">mastery of a skill, or experience </w:t>
      </w:r>
      <w:r>
        <w:rPr>
          <w:color w:val="000000" w:themeColor="text1"/>
          <w:kern w:val="24"/>
          <w:sz w:val="28"/>
          <w:szCs w:val="28"/>
        </w:rPr>
        <w:t>and</w:t>
      </w:r>
      <w:r w:rsidRPr="00C13AFC">
        <w:rPr>
          <w:color w:val="000000" w:themeColor="text1"/>
          <w:kern w:val="24"/>
          <w:sz w:val="28"/>
          <w:szCs w:val="28"/>
        </w:rPr>
        <w:t xml:space="preserve"> can be used in numerous ways.</w:t>
      </w:r>
      <w:r>
        <w:rPr>
          <w:color w:val="000000" w:themeColor="text1"/>
          <w:kern w:val="24"/>
          <w:sz w:val="28"/>
          <w:szCs w:val="28"/>
        </w:rPr>
        <w:t xml:space="preserve"> Badges</w:t>
      </w:r>
      <w:r w:rsidRPr="00C13AFC">
        <w:rPr>
          <w:color w:val="000000" w:themeColor="text1"/>
          <w:kern w:val="24"/>
          <w:sz w:val="28"/>
          <w:szCs w:val="28"/>
        </w:rPr>
        <w:t xml:space="preserve"> can represent granular competencies as well as deeply linked, rich experiences and complex learning. </w:t>
      </w:r>
      <w:r>
        <w:rPr>
          <w:color w:val="000000" w:themeColor="text1"/>
          <w:kern w:val="24"/>
          <w:sz w:val="28"/>
          <w:szCs w:val="28"/>
        </w:rPr>
        <w:t>They</w:t>
      </w:r>
      <w:r w:rsidRPr="00C13AFC">
        <w:rPr>
          <w:color w:val="000000" w:themeColor="text1"/>
          <w:kern w:val="24"/>
          <w:sz w:val="28"/>
          <w:szCs w:val="28"/>
        </w:rPr>
        <w:t xml:space="preserve"> can connect traditional accredited credentials, professional and industry-recognized credentials and non-traditional experiential credentials. (</w:t>
      </w:r>
      <w:r w:rsidRPr="009D5022">
        <w:rPr>
          <w:i/>
          <w:color w:val="000000" w:themeColor="text1"/>
          <w:kern w:val="24"/>
          <w:sz w:val="28"/>
          <w:szCs w:val="28"/>
        </w:rPr>
        <w:t>Demographic Shifts in the Rise of Alternative Credentials, 2016</w:t>
      </w:r>
      <w:r w:rsidRPr="00C13AFC">
        <w:rPr>
          <w:color w:val="000000" w:themeColor="text1"/>
          <w:kern w:val="24"/>
          <w:sz w:val="28"/>
          <w:szCs w:val="28"/>
        </w:rPr>
        <w:t>; UPCEA &amp; Pearson Education). Digital Badges are online representations of skills learned by students</w:t>
      </w:r>
      <w:r>
        <w:rPr>
          <w:color w:val="000000" w:themeColor="text1"/>
          <w:kern w:val="24"/>
          <w:sz w:val="28"/>
          <w:szCs w:val="28"/>
        </w:rPr>
        <w:t xml:space="preserve"> and can be shared via social media and mined for detail and credibility</w:t>
      </w:r>
      <w:r w:rsidRPr="00C13AFC">
        <w:rPr>
          <w:color w:val="000000" w:themeColor="text1"/>
          <w:kern w:val="24"/>
          <w:sz w:val="28"/>
          <w:szCs w:val="28"/>
        </w:rPr>
        <w:t xml:space="preserve">. </w:t>
      </w:r>
    </w:p>
    <w:p w14:paraId="15930B7A" w14:textId="77777777" w:rsidR="009B477D" w:rsidRPr="00C13AFC" w:rsidRDefault="009B477D" w:rsidP="009B477D">
      <w:pPr>
        <w:rPr>
          <w:rFonts w:eastAsia="Times New Roman" w:cs="Times New Roman"/>
          <w:sz w:val="28"/>
          <w:szCs w:val="28"/>
        </w:rPr>
      </w:pPr>
    </w:p>
    <w:p w14:paraId="452C04B0" w14:textId="77777777" w:rsidR="009B477D" w:rsidRPr="00C13AFC" w:rsidRDefault="009B477D" w:rsidP="009B477D">
      <w:pPr>
        <w:rPr>
          <w:color w:val="000000" w:themeColor="text1"/>
          <w:kern w:val="24"/>
          <w:sz w:val="28"/>
          <w:szCs w:val="28"/>
        </w:rPr>
      </w:pPr>
      <w:r w:rsidRPr="00C13AFC">
        <w:rPr>
          <w:color w:val="000000" w:themeColor="text1"/>
          <w:kern w:val="24"/>
          <w:sz w:val="28"/>
          <w:szCs w:val="28"/>
        </w:rPr>
        <w:t xml:space="preserve">As </w:t>
      </w:r>
      <w:r>
        <w:rPr>
          <w:color w:val="000000" w:themeColor="text1"/>
          <w:kern w:val="24"/>
          <w:sz w:val="28"/>
          <w:szCs w:val="28"/>
        </w:rPr>
        <w:t xml:space="preserve">the success of each college </w:t>
      </w:r>
      <w:r w:rsidRPr="00C13AFC">
        <w:rPr>
          <w:color w:val="000000" w:themeColor="text1"/>
          <w:kern w:val="24"/>
          <w:sz w:val="28"/>
          <w:szCs w:val="28"/>
        </w:rPr>
        <w:t xml:space="preserve">is </w:t>
      </w:r>
      <w:r>
        <w:rPr>
          <w:color w:val="000000" w:themeColor="text1"/>
          <w:kern w:val="24"/>
          <w:sz w:val="28"/>
          <w:szCs w:val="28"/>
        </w:rPr>
        <w:t xml:space="preserve">increasingly judged by </w:t>
      </w:r>
      <w:r w:rsidRPr="00C13AFC">
        <w:rPr>
          <w:color w:val="000000" w:themeColor="text1"/>
          <w:kern w:val="24"/>
          <w:sz w:val="28"/>
          <w:szCs w:val="28"/>
        </w:rPr>
        <w:t>its graduates’ transition into the workplace, according to Pearson, “establishing a digital ecosystem around badges to recognize college level learning, skill development and achievement is an opportunity</w:t>
      </w:r>
      <w:r>
        <w:rPr>
          <w:color w:val="000000" w:themeColor="text1"/>
          <w:kern w:val="24"/>
          <w:sz w:val="28"/>
          <w:szCs w:val="28"/>
        </w:rPr>
        <w:t>.</w:t>
      </w:r>
      <w:r w:rsidRPr="00C13AFC">
        <w:rPr>
          <w:color w:val="000000" w:themeColor="text1"/>
          <w:kern w:val="24"/>
          <w:sz w:val="28"/>
          <w:szCs w:val="28"/>
        </w:rPr>
        <w:t>” Badging systems can help motivate</w:t>
      </w:r>
      <w:r>
        <w:rPr>
          <w:color w:val="000000" w:themeColor="text1"/>
          <w:kern w:val="24"/>
          <w:sz w:val="28"/>
          <w:szCs w:val="28"/>
        </w:rPr>
        <w:t xml:space="preserve"> learners and</w:t>
      </w:r>
      <w:r w:rsidRPr="00C13AFC">
        <w:rPr>
          <w:color w:val="000000" w:themeColor="text1"/>
          <w:kern w:val="24"/>
          <w:sz w:val="28"/>
          <w:szCs w:val="28"/>
        </w:rPr>
        <w:t xml:space="preserve"> connect, articulate and make the learning that happens inside and outside classrooms transparent to employers</w:t>
      </w:r>
      <w:r>
        <w:rPr>
          <w:color w:val="000000" w:themeColor="text1"/>
          <w:kern w:val="24"/>
          <w:sz w:val="28"/>
          <w:szCs w:val="28"/>
        </w:rPr>
        <w:t xml:space="preserve"> to explain the value of the learning acquired. </w:t>
      </w:r>
      <w:r w:rsidRPr="00C13AFC">
        <w:rPr>
          <w:sz w:val="28"/>
          <w:szCs w:val="28"/>
        </w:rPr>
        <w:t>National organizations like Pearson, UPCEA and CAEL are great resources in the area of alternative credentials.</w:t>
      </w:r>
    </w:p>
    <w:p w14:paraId="44BCA4B6" w14:textId="77777777" w:rsidR="009B477D" w:rsidRPr="00C13AFC" w:rsidRDefault="009B477D" w:rsidP="009B477D">
      <w:pPr>
        <w:rPr>
          <w:sz w:val="28"/>
          <w:szCs w:val="28"/>
        </w:rPr>
      </w:pPr>
    </w:p>
    <w:p w14:paraId="1407AC9E" w14:textId="77777777" w:rsidR="009B477D" w:rsidRDefault="009B477D" w:rsidP="009B477D">
      <w:pPr>
        <w:rPr>
          <w:sz w:val="28"/>
          <w:szCs w:val="28"/>
        </w:rPr>
      </w:pPr>
      <w:r>
        <w:rPr>
          <w:sz w:val="28"/>
          <w:szCs w:val="28"/>
        </w:rPr>
        <w:t xml:space="preserve">Closer to home, </w:t>
      </w:r>
      <w:r w:rsidRPr="00C13AFC">
        <w:rPr>
          <w:sz w:val="28"/>
          <w:szCs w:val="28"/>
        </w:rPr>
        <w:t>SUNY</w:t>
      </w:r>
      <w:r>
        <w:rPr>
          <w:sz w:val="28"/>
          <w:szCs w:val="28"/>
        </w:rPr>
        <w:t xml:space="preserve"> </w:t>
      </w:r>
      <w:r w:rsidRPr="00C13AFC">
        <w:rPr>
          <w:sz w:val="28"/>
          <w:szCs w:val="28"/>
        </w:rPr>
        <w:t>created a Micro-Credentialing Task Fo</w:t>
      </w:r>
      <w:r>
        <w:rPr>
          <w:sz w:val="28"/>
          <w:szCs w:val="28"/>
        </w:rPr>
        <w:t xml:space="preserve">rce in 2015 that considered whether </w:t>
      </w:r>
      <w:r w:rsidRPr="00C13AFC">
        <w:rPr>
          <w:sz w:val="28"/>
          <w:szCs w:val="28"/>
        </w:rPr>
        <w:t xml:space="preserve">there is an opportunity to introduce SUNY as an affordable, quality option for new credentials </w:t>
      </w:r>
      <w:r>
        <w:rPr>
          <w:sz w:val="28"/>
          <w:szCs w:val="28"/>
        </w:rPr>
        <w:t xml:space="preserve">and if </w:t>
      </w:r>
      <w:r w:rsidRPr="00C13AFC">
        <w:rPr>
          <w:sz w:val="28"/>
          <w:szCs w:val="28"/>
        </w:rPr>
        <w:t>micro-</w:t>
      </w:r>
      <w:r w:rsidRPr="00C13AFC">
        <w:rPr>
          <w:sz w:val="28"/>
          <w:szCs w:val="28"/>
        </w:rPr>
        <w:lastRenderedPageBreak/>
        <w:t xml:space="preserve">credentials </w:t>
      </w:r>
      <w:r>
        <w:rPr>
          <w:sz w:val="28"/>
          <w:szCs w:val="28"/>
        </w:rPr>
        <w:t xml:space="preserve">could </w:t>
      </w:r>
      <w:r w:rsidRPr="00C13AFC">
        <w:rPr>
          <w:sz w:val="28"/>
          <w:szCs w:val="28"/>
        </w:rPr>
        <w:t>be a way to attract the non-tradit</w:t>
      </w:r>
      <w:r>
        <w:rPr>
          <w:sz w:val="28"/>
          <w:szCs w:val="28"/>
        </w:rPr>
        <w:t xml:space="preserve">ional or adult learner to SUNY. </w:t>
      </w:r>
      <w:r w:rsidRPr="00C13AFC">
        <w:rPr>
          <w:sz w:val="28"/>
          <w:szCs w:val="28"/>
        </w:rPr>
        <w:t>The group reported to SUNY Provost Cartwright</w:t>
      </w:r>
      <w:r>
        <w:rPr>
          <w:sz w:val="28"/>
          <w:szCs w:val="28"/>
        </w:rPr>
        <w:t xml:space="preserve"> and included representatives from numerous offices and college types.</w:t>
      </w:r>
      <w:r w:rsidRPr="00C13AFC">
        <w:rPr>
          <w:sz w:val="28"/>
          <w:szCs w:val="28"/>
        </w:rPr>
        <w:t xml:space="preserve"> </w:t>
      </w:r>
      <w:r>
        <w:rPr>
          <w:sz w:val="28"/>
          <w:szCs w:val="28"/>
        </w:rPr>
        <w:t>The group reviewed current literature and the growing national dialogue on micro-credentials, examined work currently underway across SUNY’s 64 campuses to develop and/or implement micro-credentials and reviewed SUNY policies to ensure a supportive environment for micro-credentials. A</w:t>
      </w:r>
      <w:r w:rsidRPr="00C13AFC">
        <w:rPr>
          <w:sz w:val="28"/>
          <w:szCs w:val="28"/>
        </w:rPr>
        <w:t xml:space="preserve"> formal document</w:t>
      </w:r>
      <w:r>
        <w:rPr>
          <w:sz w:val="28"/>
          <w:szCs w:val="28"/>
        </w:rPr>
        <w:t xml:space="preserve"> addressed</w:t>
      </w:r>
      <w:r w:rsidRPr="00C13AFC">
        <w:rPr>
          <w:sz w:val="28"/>
          <w:szCs w:val="28"/>
        </w:rPr>
        <w:t xml:space="preserve"> to campus leaders and all SUNY faculty and staff </w:t>
      </w:r>
      <w:r>
        <w:rPr>
          <w:sz w:val="28"/>
          <w:szCs w:val="28"/>
        </w:rPr>
        <w:t xml:space="preserve">documenting </w:t>
      </w:r>
      <w:r w:rsidRPr="00C13AFC">
        <w:rPr>
          <w:sz w:val="28"/>
          <w:szCs w:val="28"/>
        </w:rPr>
        <w:t>definitions</w:t>
      </w:r>
      <w:r>
        <w:rPr>
          <w:sz w:val="28"/>
          <w:szCs w:val="28"/>
        </w:rPr>
        <w:t>, benefits,</w:t>
      </w:r>
      <w:r w:rsidRPr="00C13AFC">
        <w:rPr>
          <w:sz w:val="28"/>
          <w:szCs w:val="28"/>
        </w:rPr>
        <w:t xml:space="preserve"> guiding principles</w:t>
      </w:r>
      <w:r>
        <w:rPr>
          <w:sz w:val="28"/>
          <w:szCs w:val="28"/>
        </w:rPr>
        <w:t xml:space="preserve"> and suggested steps SUNY should take</w:t>
      </w:r>
      <w:r w:rsidRPr="00C13AFC">
        <w:rPr>
          <w:sz w:val="28"/>
          <w:szCs w:val="28"/>
        </w:rPr>
        <w:t xml:space="preserve"> </w:t>
      </w:r>
      <w:r>
        <w:rPr>
          <w:sz w:val="28"/>
          <w:szCs w:val="28"/>
        </w:rPr>
        <w:t>to ensure a successful</w:t>
      </w:r>
      <w:r w:rsidRPr="00C13AFC">
        <w:rPr>
          <w:sz w:val="28"/>
          <w:szCs w:val="28"/>
        </w:rPr>
        <w:t xml:space="preserve"> adoption of micro-credentials</w:t>
      </w:r>
      <w:r>
        <w:rPr>
          <w:sz w:val="28"/>
          <w:szCs w:val="28"/>
        </w:rPr>
        <w:t xml:space="preserve"> was released for comment to SUNY institutions in the fall of 2017. One of the recommendations was to create a</w:t>
      </w:r>
      <w:r w:rsidRPr="00C13AFC">
        <w:rPr>
          <w:sz w:val="28"/>
          <w:szCs w:val="28"/>
        </w:rPr>
        <w:t xml:space="preserve"> task group </w:t>
      </w:r>
      <w:r>
        <w:rPr>
          <w:sz w:val="28"/>
          <w:szCs w:val="28"/>
        </w:rPr>
        <w:t xml:space="preserve">to </w:t>
      </w:r>
      <w:r w:rsidRPr="00C13AFC">
        <w:rPr>
          <w:sz w:val="28"/>
          <w:szCs w:val="28"/>
        </w:rPr>
        <w:t xml:space="preserve">compile tools, </w:t>
      </w:r>
      <w:r>
        <w:rPr>
          <w:sz w:val="28"/>
          <w:szCs w:val="28"/>
        </w:rPr>
        <w:t xml:space="preserve">develop </w:t>
      </w:r>
      <w:r w:rsidRPr="00C13AFC">
        <w:rPr>
          <w:sz w:val="28"/>
          <w:szCs w:val="28"/>
        </w:rPr>
        <w:t>frameworks</w:t>
      </w:r>
      <w:r>
        <w:rPr>
          <w:sz w:val="28"/>
          <w:szCs w:val="28"/>
        </w:rPr>
        <w:t xml:space="preserve"> and</w:t>
      </w:r>
      <w:r w:rsidRPr="00C13AFC">
        <w:rPr>
          <w:sz w:val="28"/>
          <w:szCs w:val="28"/>
        </w:rPr>
        <w:t xml:space="preserve"> educational resources and to create a community of practice for all SUNY institutions</w:t>
      </w:r>
      <w:r>
        <w:rPr>
          <w:sz w:val="28"/>
          <w:szCs w:val="28"/>
        </w:rPr>
        <w:t xml:space="preserve"> to support the cultivation of micro-credentials</w:t>
      </w:r>
      <w:r w:rsidRPr="00C13AFC">
        <w:rPr>
          <w:sz w:val="28"/>
          <w:szCs w:val="28"/>
        </w:rPr>
        <w:t>.</w:t>
      </w:r>
      <w:r>
        <w:rPr>
          <w:sz w:val="28"/>
          <w:szCs w:val="28"/>
        </w:rPr>
        <w:t xml:space="preserve"> The group has been actively meeting and plans to present these resources </w:t>
      </w:r>
      <w:r w:rsidRPr="00C13AFC">
        <w:rPr>
          <w:sz w:val="28"/>
          <w:szCs w:val="28"/>
        </w:rPr>
        <w:t xml:space="preserve">at </w:t>
      </w:r>
      <w:r>
        <w:rPr>
          <w:sz w:val="28"/>
          <w:szCs w:val="28"/>
        </w:rPr>
        <w:t xml:space="preserve">SUNY’s </w:t>
      </w:r>
      <w:r w:rsidRPr="00C13AFC">
        <w:rPr>
          <w:sz w:val="28"/>
          <w:szCs w:val="28"/>
        </w:rPr>
        <w:t>C</w:t>
      </w:r>
      <w:r>
        <w:rPr>
          <w:sz w:val="28"/>
          <w:szCs w:val="28"/>
        </w:rPr>
        <w:t>onference on Instructional Technology (C</w:t>
      </w:r>
      <w:r w:rsidRPr="00C13AFC">
        <w:rPr>
          <w:sz w:val="28"/>
          <w:szCs w:val="28"/>
        </w:rPr>
        <w:t>IT</w:t>
      </w:r>
      <w:r>
        <w:rPr>
          <w:sz w:val="28"/>
          <w:szCs w:val="28"/>
        </w:rPr>
        <w:t>)</w:t>
      </w:r>
      <w:r w:rsidRPr="00C13AFC">
        <w:rPr>
          <w:sz w:val="28"/>
          <w:szCs w:val="28"/>
        </w:rPr>
        <w:t xml:space="preserve"> in </w:t>
      </w:r>
      <w:r>
        <w:rPr>
          <w:sz w:val="28"/>
          <w:szCs w:val="28"/>
        </w:rPr>
        <w:t xml:space="preserve">May of </w:t>
      </w:r>
      <w:r w:rsidRPr="00C13AFC">
        <w:rPr>
          <w:sz w:val="28"/>
          <w:szCs w:val="28"/>
        </w:rPr>
        <w:t xml:space="preserve">2018. </w:t>
      </w:r>
    </w:p>
    <w:p w14:paraId="0575DC5B" w14:textId="77777777" w:rsidR="009B477D" w:rsidRDefault="009B477D" w:rsidP="009B477D">
      <w:pPr>
        <w:rPr>
          <w:sz w:val="28"/>
          <w:szCs w:val="28"/>
        </w:rPr>
      </w:pPr>
    </w:p>
    <w:p w14:paraId="15932FF4"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4AA37384" w14:textId="77777777" w:rsidR="009B477D" w:rsidRPr="00C13AFC" w:rsidRDefault="009B477D" w:rsidP="009B477D">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r>
        <w:rPr>
          <w:rFonts w:asciiTheme="minorHAnsi" w:eastAsiaTheme="minorEastAsia" w:hAnsiTheme="minorHAnsi" w:cstheme="minorBidi"/>
          <w:b/>
          <w:color w:val="000000" w:themeColor="text1"/>
          <w:kern w:val="24"/>
          <w:sz w:val="28"/>
          <w:szCs w:val="28"/>
        </w:rPr>
        <w:t xml:space="preserve">2. </w:t>
      </w:r>
      <w:r w:rsidRPr="00C13AFC">
        <w:rPr>
          <w:rFonts w:asciiTheme="minorHAnsi" w:eastAsiaTheme="minorEastAsia" w:hAnsiTheme="minorHAnsi" w:cstheme="minorBidi"/>
          <w:b/>
          <w:color w:val="000000" w:themeColor="text1"/>
          <w:kern w:val="24"/>
          <w:sz w:val="28"/>
          <w:szCs w:val="28"/>
        </w:rPr>
        <w:t>Prior Learning Assessment (PLA)</w:t>
      </w:r>
    </w:p>
    <w:p w14:paraId="7B935A8D" w14:textId="77777777" w:rsidR="009B477D" w:rsidRPr="00C13AFC" w:rsidRDefault="009B477D" w:rsidP="009B477D">
      <w:pPr>
        <w:pStyle w:val="NormalWeb"/>
        <w:spacing w:before="0" w:beforeAutospacing="0" w:after="0" w:afterAutospacing="0"/>
        <w:rPr>
          <w:rFonts w:asciiTheme="minorHAnsi" w:hAnsiTheme="minorHAnsi"/>
          <w:sz w:val="28"/>
          <w:szCs w:val="28"/>
        </w:rPr>
      </w:pPr>
    </w:p>
    <w:p w14:paraId="5F05DDFD" w14:textId="77777777" w:rsidR="009B477D" w:rsidRPr="00F01AD3" w:rsidRDefault="009B477D" w:rsidP="009B477D">
      <w:pPr>
        <w:rPr>
          <w:sz w:val="28"/>
          <w:szCs w:val="28"/>
        </w:rPr>
      </w:pPr>
      <w:r>
        <w:rPr>
          <w:color w:val="000000" w:themeColor="text1"/>
          <w:kern w:val="24"/>
          <w:sz w:val="28"/>
          <w:szCs w:val="28"/>
        </w:rPr>
        <w:t>“</w:t>
      </w:r>
      <w:r w:rsidRPr="00C13AFC">
        <w:rPr>
          <w:color w:val="000000" w:themeColor="text1"/>
          <w:kern w:val="24"/>
          <w:sz w:val="28"/>
          <w:szCs w:val="28"/>
        </w:rPr>
        <w:t>Prior Learning</w:t>
      </w:r>
      <w:r>
        <w:rPr>
          <w:color w:val="000000" w:themeColor="text1"/>
          <w:kern w:val="24"/>
          <w:sz w:val="28"/>
          <w:szCs w:val="28"/>
        </w:rPr>
        <w:t>”</w:t>
      </w:r>
      <w:r w:rsidRPr="00C13AFC">
        <w:rPr>
          <w:color w:val="000000" w:themeColor="text1"/>
          <w:kern w:val="24"/>
          <w:sz w:val="28"/>
          <w:szCs w:val="28"/>
        </w:rPr>
        <w:t xml:space="preserve"> is a term educators use to describe learning that a person acquires outside of a tr</w:t>
      </w:r>
      <w:r>
        <w:rPr>
          <w:color w:val="000000" w:themeColor="text1"/>
          <w:kern w:val="24"/>
          <w:sz w:val="28"/>
          <w:szCs w:val="28"/>
        </w:rPr>
        <w:t>aditional learning environment. Examples include i</w:t>
      </w:r>
      <w:r>
        <w:rPr>
          <w:sz w:val="28"/>
          <w:szCs w:val="28"/>
        </w:rPr>
        <w:t>nternships and experiential learning (both paid and u</w:t>
      </w:r>
      <w:r w:rsidRPr="00C13AFC">
        <w:rPr>
          <w:sz w:val="28"/>
          <w:szCs w:val="28"/>
        </w:rPr>
        <w:t>npaid)</w:t>
      </w:r>
      <w:r>
        <w:rPr>
          <w:sz w:val="28"/>
          <w:szCs w:val="28"/>
        </w:rPr>
        <w:t>; r</w:t>
      </w:r>
      <w:r w:rsidRPr="00C13AFC">
        <w:rPr>
          <w:sz w:val="28"/>
          <w:szCs w:val="28"/>
        </w:rPr>
        <w:t>esearch</w:t>
      </w:r>
      <w:r>
        <w:rPr>
          <w:sz w:val="28"/>
          <w:szCs w:val="28"/>
        </w:rPr>
        <w:t>; military t</w:t>
      </w:r>
      <w:r w:rsidRPr="00C13AFC">
        <w:rPr>
          <w:sz w:val="28"/>
          <w:szCs w:val="28"/>
        </w:rPr>
        <w:t>raining</w:t>
      </w:r>
      <w:r>
        <w:rPr>
          <w:sz w:val="28"/>
          <w:szCs w:val="28"/>
        </w:rPr>
        <w:t>; volunteering and community s</w:t>
      </w:r>
      <w:r w:rsidRPr="00C13AFC">
        <w:rPr>
          <w:sz w:val="28"/>
          <w:szCs w:val="28"/>
        </w:rPr>
        <w:t>ervice</w:t>
      </w:r>
      <w:r>
        <w:rPr>
          <w:sz w:val="28"/>
          <w:szCs w:val="28"/>
        </w:rPr>
        <w:t>; work e</w:t>
      </w:r>
      <w:r w:rsidRPr="00C13AFC">
        <w:rPr>
          <w:sz w:val="28"/>
          <w:szCs w:val="28"/>
        </w:rPr>
        <w:t>xperience</w:t>
      </w:r>
      <w:r>
        <w:rPr>
          <w:sz w:val="28"/>
          <w:szCs w:val="28"/>
        </w:rPr>
        <w:t xml:space="preserve"> and independent study attained through life experience or other avenues, such as </w:t>
      </w:r>
      <w:r w:rsidRPr="00C13AFC">
        <w:rPr>
          <w:color w:val="000000" w:themeColor="text1"/>
          <w:kern w:val="24"/>
          <w:sz w:val="28"/>
          <w:szCs w:val="28"/>
        </w:rPr>
        <w:t>Massive Open Online Courses</w:t>
      </w:r>
      <w:r>
        <w:rPr>
          <w:color w:val="000000" w:themeColor="text1"/>
          <w:kern w:val="24"/>
          <w:sz w:val="28"/>
          <w:szCs w:val="28"/>
        </w:rPr>
        <w:t xml:space="preserve"> (MOOCs)</w:t>
      </w:r>
      <w:r w:rsidRPr="00C13AFC">
        <w:rPr>
          <w:color w:val="000000" w:themeColor="text1"/>
          <w:kern w:val="24"/>
          <w:sz w:val="28"/>
          <w:szCs w:val="28"/>
        </w:rPr>
        <w:t xml:space="preserve">. </w:t>
      </w:r>
      <w:r>
        <w:rPr>
          <w:color w:val="000000" w:themeColor="text1"/>
          <w:kern w:val="24"/>
          <w:sz w:val="28"/>
          <w:szCs w:val="28"/>
        </w:rPr>
        <w:t>“</w:t>
      </w:r>
      <w:r w:rsidRPr="00C13AFC">
        <w:rPr>
          <w:color w:val="000000" w:themeColor="text1"/>
          <w:kern w:val="24"/>
          <w:sz w:val="28"/>
          <w:szCs w:val="28"/>
        </w:rPr>
        <w:t>Prior Learning Assessment,</w:t>
      </w:r>
      <w:r>
        <w:rPr>
          <w:color w:val="000000" w:themeColor="text1"/>
          <w:kern w:val="24"/>
          <w:sz w:val="28"/>
          <w:szCs w:val="28"/>
        </w:rPr>
        <w:t>”</w:t>
      </w:r>
      <w:r w:rsidRPr="00C13AFC">
        <w:rPr>
          <w:color w:val="000000" w:themeColor="text1"/>
          <w:kern w:val="24"/>
          <w:sz w:val="28"/>
          <w:szCs w:val="28"/>
        </w:rPr>
        <w:t xml:space="preserve"> or PLA, is the process by which an individual’s extra</w:t>
      </w:r>
      <w:r>
        <w:rPr>
          <w:color w:val="000000" w:themeColor="text1"/>
          <w:kern w:val="24"/>
          <w:sz w:val="28"/>
          <w:szCs w:val="28"/>
        </w:rPr>
        <w:t>-</w:t>
      </w:r>
      <w:r w:rsidRPr="00C13AFC">
        <w:rPr>
          <w:color w:val="000000" w:themeColor="text1"/>
          <w:kern w:val="24"/>
          <w:sz w:val="28"/>
          <w:szCs w:val="28"/>
        </w:rPr>
        <w:t xml:space="preserve">institutional learning is assessed and evaluated for the purpose of granting college credit, certification or advanced standing toward further education or training. </w:t>
      </w:r>
    </w:p>
    <w:p w14:paraId="7F221C08" w14:textId="77777777" w:rsidR="009B477D" w:rsidRDefault="009B477D" w:rsidP="009B477D">
      <w:pPr>
        <w:rPr>
          <w:color w:val="000000" w:themeColor="text1"/>
          <w:kern w:val="24"/>
          <w:sz w:val="28"/>
          <w:szCs w:val="28"/>
        </w:rPr>
      </w:pPr>
    </w:p>
    <w:p w14:paraId="5A9A590A" w14:textId="77777777" w:rsidR="009B477D" w:rsidRPr="00BF5133"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BF5133">
        <w:rPr>
          <w:rFonts w:asciiTheme="minorHAnsi" w:eastAsiaTheme="minorEastAsia" w:hAnsiTheme="minorHAnsi" w:cstheme="minorBidi"/>
          <w:color w:val="000000" w:themeColor="text1"/>
          <w:kern w:val="24"/>
          <w:sz w:val="28"/>
          <w:szCs w:val="28"/>
        </w:rPr>
        <w:t xml:space="preserve">Prior knowledge may be demonstrated in a number of ways and can be integrated into a student’s educational trajectory. </w:t>
      </w:r>
      <w:r w:rsidRPr="00BF5133">
        <w:rPr>
          <w:rFonts w:asciiTheme="minorHAnsi" w:hAnsiTheme="minorHAnsi"/>
          <w:color w:val="000000" w:themeColor="text1"/>
          <w:kern w:val="24"/>
          <w:sz w:val="28"/>
          <w:szCs w:val="28"/>
        </w:rPr>
        <w:t>Granting credit for prior learning involves evaluation of that learning and determination of the equivalence of that learning to the outcomes in college coursework and is another way to connect non-credit activity to college credit. This can be done through s</w:t>
      </w:r>
      <w:r w:rsidRPr="00BF5133">
        <w:rPr>
          <w:rFonts w:asciiTheme="minorHAnsi" w:hAnsiTheme="minorHAnsi"/>
          <w:sz w:val="28"/>
          <w:szCs w:val="28"/>
        </w:rPr>
        <w:t>tandardized exams</w:t>
      </w:r>
      <w:r w:rsidRPr="00BF5133">
        <w:rPr>
          <w:rFonts w:asciiTheme="minorHAnsi" w:hAnsiTheme="minorHAnsi"/>
          <w:color w:val="000000" w:themeColor="text1"/>
          <w:kern w:val="24"/>
          <w:sz w:val="28"/>
          <w:szCs w:val="28"/>
        </w:rPr>
        <w:t xml:space="preserve"> such as </w:t>
      </w:r>
      <w:r w:rsidRPr="00BF5133">
        <w:rPr>
          <w:rFonts w:asciiTheme="minorHAnsi" w:hAnsiTheme="minorHAnsi"/>
          <w:sz w:val="28"/>
          <w:szCs w:val="28"/>
        </w:rPr>
        <w:t>Advanced Placement (AP) Examinations</w:t>
      </w:r>
      <w:r w:rsidRPr="00BF5133">
        <w:rPr>
          <w:rFonts w:asciiTheme="minorHAnsi" w:hAnsiTheme="minorHAnsi"/>
          <w:color w:val="000000" w:themeColor="text1"/>
          <w:kern w:val="24"/>
          <w:sz w:val="28"/>
          <w:szCs w:val="28"/>
        </w:rPr>
        <w:t xml:space="preserve">, the </w:t>
      </w:r>
      <w:r w:rsidRPr="00BF5133">
        <w:rPr>
          <w:rFonts w:asciiTheme="minorHAnsi" w:hAnsiTheme="minorHAnsi"/>
          <w:sz w:val="28"/>
          <w:szCs w:val="28"/>
        </w:rPr>
        <w:t>College Level Examination Program (CLEP</w:t>
      </w:r>
      <w:r w:rsidRPr="00BF5133">
        <w:rPr>
          <w:rFonts w:asciiTheme="minorHAnsi" w:hAnsiTheme="minorHAnsi"/>
          <w:color w:val="000000" w:themeColor="text1"/>
          <w:kern w:val="24"/>
          <w:sz w:val="28"/>
          <w:szCs w:val="28"/>
        </w:rPr>
        <w:t xml:space="preserve">, </w:t>
      </w:r>
      <w:r w:rsidRPr="00BF5133">
        <w:rPr>
          <w:rFonts w:asciiTheme="minorHAnsi" w:hAnsiTheme="minorHAnsi"/>
          <w:color w:val="000000" w:themeColor="text1"/>
          <w:kern w:val="24"/>
          <w:sz w:val="28"/>
          <w:szCs w:val="28"/>
        </w:rPr>
        <w:lastRenderedPageBreak/>
        <w:t>E</w:t>
      </w:r>
      <w:r w:rsidRPr="00BF5133">
        <w:rPr>
          <w:rFonts w:asciiTheme="minorHAnsi" w:hAnsiTheme="minorHAnsi"/>
          <w:sz w:val="28"/>
          <w:szCs w:val="28"/>
        </w:rPr>
        <w:t>xcelsior College Examinations (UExcel)</w:t>
      </w:r>
      <w:r w:rsidRPr="00BF5133">
        <w:rPr>
          <w:rFonts w:asciiTheme="minorHAnsi" w:hAnsiTheme="minorHAnsi"/>
          <w:color w:val="000000" w:themeColor="text1"/>
          <w:kern w:val="24"/>
          <w:sz w:val="28"/>
          <w:szCs w:val="28"/>
        </w:rPr>
        <w:t xml:space="preserve"> and </w:t>
      </w:r>
      <w:r w:rsidRPr="00BF5133">
        <w:rPr>
          <w:rFonts w:asciiTheme="minorHAnsi" w:hAnsiTheme="minorHAnsi"/>
          <w:sz w:val="28"/>
          <w:szCs w:val="28"/>
        </w:rPr>
        <w:t xml:space="preserve">DANTES Subject Standardized Tests (DSST). </w:t>
      </w:r>
      <w:r w:rsidRPr="00BF5133">
        <w:rPr>
          <w:rFonts w:asciiTheme="minorHAnsi" w:hAnsiTheme="minorHAnsi"/>
          <w:color w:val="000000" w:themeColor="text1"/>
          <w:kern w:val="24"/>
          <w:sz w:val="28"/>
          <w:szCs w:val="28"/>
        </w:rPr>
        <w:t xml:space="preserve"> Others include the International Baccalaureate Exam (IB) and the Thomas Edison State College Examination Program (TECEP), the ACTFL Oral Proficiency Interview, the NYU Foreign Language Exams, etc.</w:t>
      </w:r>
    </w:p>
    <w:p w14:paraId="6E56B177" w14:textId="77777777" w:rsidR="009B477D" w:rsidRPr="008346A4" w:rsidRDefault="009B477D" w:rsidP="009B477D">
      <w:pPr>
        <w:rPr>
          <w:sz w:val="28"/>
          <w:szCs w:val="28"/>
        </w:rPr>
      </w:pPr>
    </w:p>
    <w:p w14:paraId="0EE32476" w14:textId="77777777" w:rsidR="009B477D" w:rsidRDefault="009B477D" w:rsidP="009B477D">
      <w:pPr>
        <w:rPr>
          <w:sz w:val="28"/>
          <w:szCs w:val="28"/>
        </w:rPr>
      </w:pPr>
      <w:r>
        <w:rPr>
          <w:color w:val="000000" w:themeColor="text1"/>
          <w:kern w:val="24"/>
          <w:sz w:val="28"/>
          <w:szCs w:val="28"/>
        </w:rPr>
        <w:t>I</w:t>
      </w:r>
      <w:r>
        <w:rPr>
          <w:sz w:val="28"/>
          <w:szCs w:val="28"/>
        </w:rPr>
        <w:t>ndividualized a</w:t>
      </w:r>
      <w:r w:rsidRPr="00C13AFC">
        <w:rPr>
          <w:sz w:val="28"/>
          <w:szCs w:val="28"/>
        </w:rPr>
        <w:t>ssessments</w:t>
      </w:r>
      <w:r>
        <w:rPr>
          <w:sz w:val="28"/>
          <w:szCs w:val="28"/>
        </w:rPr>
        <w:t>,</w:t>
      </w:r>
      <w:r>
        <w:rPr>
          <w:color w:val="000000" w:themeColor="text1"/>
          <w:kern w:val="24"/>
          <w:sz w:val="28"/>
          <w:szCs w:val="28"/>
        </w:rPr>
        <w:t xml:space="preserve"> such as p</w:t>
      </w:r>
      <w:r w:rsidRPr="00C13AFC">
        <w:rPr>
          <w:sz w:val="28"/>
          <w:szCs w:val="28"/>
        </w:rPr>
        <w:t>ortfolio</w:t>
      </w:r>
      <w:r>
        <w:rPr>
          <w:sz w:val="28"/>
          <w:szCs w:val="28"/>
        </w:rPr>
        <w:t xml:space="preserve">s, can also be used to evaluate learning. For example, as part of </w:t>
      </w:r>
      <w:r w:rsidRPr="00C13AFC">
        <w:rPr>
          <w:sz w:val="28"/>
          <w:szCs w:val="28"/>
        </w:rPr>
        <w:t>Lehman College’s Adult Degree Program</w:t>
      </w:r>
      <w:r>
        <w:rPr>
          <w:sz w:val="28"/>
          <w:szCs w:val="28"/>
        </w:rPr>
        <w:t>,</w:t>
      </w:r>
      <w:r w:rsidRPr="00C13AFC">
        <w:rPr>
          <w:sz w:val="28"/>
          <w:szCs w:val="28"/>
        </w:rPr>
        <w:t xml:space="preserve"> students take a</w:t>
      </w:r>
      <w:r>
        <w:rPr>
          <w:sz w:val="28"/>
          <w:szCs w:val="28"/>
        </w:rPr>
        <w:t xml:space="preserve"> </w:t>
      </w:r>
      <w:r w:rsidRPr="00C13AFC">
        <w:rPr>
          <w:sz w:val="28"/>
          <w:szCs w:val="28"/>
        </w:rPr>
        <w:t xml:space="preserve">portfolio course for 3 credits </w:t>
      </w:r>
      <w:r>
        <w:rPr>
          <w:sz w:val="28"/>
          <w:szCs w:val="28"/>
        </w:rPr>
        <w:t>during which they</w:t>
      </w:r>
      <w:r w:rsidRPr="00C13AFC">
        <w:rPr>
          <w:sz w:val="28"/>
          <w:szCs w:val="28"/>
        </w:rPr>
        <w:t xml:space="preserve"> create a portfolio </w:t>
      </w:r>
      <w:r>
        <w:rPr>
          <w:sz w:val="28"/>
          <w:szCs w:val="28"/>
        </w:rPr>
        <w:t>that</w:t>
      </w:r>
      <w:r w:rsidRPr="00C13AFC">
        <w:rPr>
          <w:sz w:val="28"/>
          <w:szCs w:val="28"/>
        </w:rPr>
        <w:t xml:space="preserve"> can be eligible for up to 15 credits, thereby earning </w:t>
      </w:r>
      <w:r>
        <w:rPr>
          <w:sz w:val="28"/>
          <w:szCs w:val="28"/>
        </w:rPr>
        <w:t xml:space="preserve">up to 18 credits for the cost of 3. </w:t>
      </w:r>
    </w:p>
    <w:p w14:paraId="3AFA6AA8" w14:textId="77777777" w:rsidR="009B477D" w:rsidRDefault="009B477D" w:rsidP="009B477D">
      <w:pPr>
        <w:rPr>
          <w:sz w:val="28"/>
          <w:szCs w:val="28"/>
        </w:rPr>
      </w:pPr>
    </w:p>
    <w:p w14:paraId="33DA73D1" w14:textId="77777777" w:rsidR="009B477D" w:rsidRPr="00C13AFC" w:rsidRDefault="009B477D" w:rsidP="009B477D">
      <w:pPr>
        <w:rPr>
          <w:sz w:val="28"/>
          <w:szCs w:val="28"/>
        </w:rPr>
      </w:pPr>
      <w:r>
        <w:rPr>
          <w:sz w:val="28"/>
          <w:szCs w:val="28"/>
        </w:rPr>
        <w:t xml:space="preserve"> </w:t>
      </w:r>
      <w:r w:rsidRPr="00C13AFC">
        <w:rPr>
          <w:color w:val="000000" w:themeColor="text1"/>
          <w:kern w:val="24"/>
          <w:sz w:val="28"/>
          <w:szCs w:val="28"/>
        </w:rPr>
        <w:t xml:space="preserve">In addition to </w:t>
      </w:r>
      <w:r>
        <w:rPr>
          <w:color w:val="000000" w:themeColor="text1"/>
          <w:kern w:val="24"/>
          <w:sz w:val="28"/>
          <w:szCs w:val="28"/>
        </w:rPr>
        <w:t>portfolio assessment,</w:t>
      </w:r>
      <w:r w:rsidRPr="00C13AFC">
        <w:rPr>
          <w:color w:val="000000" w:themeColor="text1"/>
          <w:kern w:val="24"/>
          <w:sz w:val="28"/>
          <w:szCs w:val="28"/>
        </w:rPr>
        <w:t xml:space="preserve"> there </w:t>
      </w:r>
      <w:r>
        <w:rPr>
          <w:color w:val="000000" w:themeColor="text1"/>
          <w:kern w:val="24"/>
          <w:sz w:val="28"/>
          <w:szCs w:val="28"/>
        </w:rPr>
        <w:t>are three</w:t>
      </w:r>
      <w:r w:rsidRPr="00C13AFC">
        <w:rPr>
          <w:color w:val="000000" w:themeColor="text1"/>
          <w:kern w:val="24"/>
          <w:sz w:val="28"/>
          <w:szCs w:val="28"/>
        </w:rPr>
        <w:t xml:space="preserve"> generally accepted approaches to PLA that may grant students credit.</w:t>
      </w:r>
    </w:p>
    <w:p w14:paraId="5E99E906" w14:textId="77777777" w:rsidR="009B477D" w:rsidRPr="00C13AFC" w:rsidRDefault="009B477D" w:rsidP="009B477D">
      <w:pPr>
        <w:pStyle w:val="ListParagraph"/>
        <w:numPr>
          <w:ilvl w:val="0"/>
          <w:numId w:val="1"/>
        </w:numPr>
        <w:rPr>
          <w:rFonts w:asciiTheme="minorHAnsi" w:hAnsiTheme="minorHAnsi"/>
          <w:sz w:val="28"/>
          <w:szCs w:val="28"/>
        </w:rPr>
      </w:pPr>
      <w:r>
        <w:rPr>
          <w:rFonts w:asciiTheme="minorHAnsi" w:eastAsiaTheme="minorEastAsia" w:hAnsiTheme="minorHAnsi" w:cstheme="minorBidi"/>
          <w:color w:val="000000" w:themeColor="text1"/>
          <w:kern w:val="24"/>
          <w:sz w:val="28"/>
          <w:szCs w:val="28"/>
        </w:rPr>
        <w:t>Skill simulation/</w:t>
      </w:r>
      <w:r w:rsidRPr="00C13AFC">
        <w:rPr>
          <w:rFonts w:asciiTheme="minorHAnsi" w:eastAsiaTheme="minorEastAsia" w:hAnsiTheme="minorHAnsi" w:cstheme="minorBidi"/>
          <w:color w:val="000000" w:themeColor="text1"/>
          <w:kern w:val="24"/>
          <w:sz w:val="28"/>
          <w:szCs w:val="28"/>
        </w:rPr>
        <w:t>demonstration or interview-based assessment</w:t>
      </w:r>
      <w:r>
        <w:rPr>
          <w:rFonts w:asciiTheme="minorHAnsi" w:eastAsiaTheme="minorEastAsia" w:hAnsiTheme="minorHAnsi" w:cstheme="minorBidi"/>
          <w:color w:val="000000" w:themeColor="text1"/>
          <w:kern w:val="24"/>
          <w:sz w:val="28"/>
          <w:szCs w:val="28"/>
        </w:rPr>
        <w:t>;</w:t>
      </w:r>
    </w:p>
    <w:p w14:paraId="518D6BB0" w14:textId="77777777" w:rsidR="009B477D" w:rsidRPr="00C13AFC" w:rsidRDefault="009B477D" w:rsidP="009B477D">
      <w:pPr>
        <w:numPr>
          <w:ilvl w:val="0"/>
          <w:numId w:val="1"/>
        </w:numPr>
        <w:rPr>
          <w:sz w:val="28"/>
          <w:szCs w:val="28"/>
        </w:rPr>
      </w:pPr>
      <w:r w:rsidRPr="00C13AFC">
        <w:rPr>
          <w:sz w:val="28"/>
          <w:szCs w:val="28"/>
        </w:rPr>
        <w:t>College faculty developed challenge exam</w:t>
      </w:r>
      <w:r>
        <w:rPr>
          <w:sz w:val="28"/>
          <w:szCs w:val="28"/>
        </w:rPr>
        <w:t>ination</w:t>
      </w:r>
      <w:r w:rsidRPr="00C13AFC">
        <w:rPr>
          <w:sz w:val="28"/>
          <w:szCs w:val="28"/>
        </w:rPr>
        <w:t>s – often a final exam</w:t>
      </w:r>
      <w:r>
        <w:rPr>
          <w:sz w:val="28"/>
          <w:szCs w:val="28"/>
        </w:rPr>
        <w:t>ination</w:t>
      </w:r>
      <w:r w:rsidRPr="00C13AFC">
        <w:rPr>
          <w:sz w:val="28"/>
          <w:szCs w:val="28"/>
        </w:rPr>
        <w:t xml:space="preserve"> which allows people to exhibit college</w:t>
      </w:r>
      <w:r>
        <w:rPr>
          <w:sz w:val="28"/>
          <w:szCs w:val="28"/>
        </w:rPr>
        <w:t>-</w:t>
      </w:r>
      <w:r w:rsidRPr="00C13AFC">
        <w:rPr>
          <w:sz w:val="28"/>
          <w:szCs w:val="28"/>
        </w:rPr>
        <w:t>level learning in a</w:t>
      </w:r>
      <w:r>
        <w:rPr>
          <w:sz w:val="28"/>
          <w:szCs w:val="28"/>
        </w:rPr>
        <w:t>n equal way to college students;</w:t>
      </w:r>
    </w:p>
    <w:p w14:paraId="396916FB" w14:textId="77777777" w:rsidR="009B477D" w:rsidRPr="00C13AFC" w:rsidRDefault="009B477D" w:rsidP="009B477D">
      <w:pPr>
        <w:pStyle w:val="ListParagraph"/>
        <w:numPr>
          <w:ilvl w:val="0"/>
          <w:numId w:val="1"/>
        </w:numPr>
        <w:rPr>
          <w:rFonts w:asciiTheme="minorHAnsi" w:hAnsiTheme="minorHAnsi"/>
          <w:sz w:val="28"/>
          <w:szCs w:val="28"/>
        </w:rPr>
      </w:pPr>
      <w:r>
        <w:rPr>
          <w:rFonts w:asciiTheme="minorHAnsi" w:eastAsiaTheme="minorEastAsia" w:hAnsiTheme="minorHAnsi" w:cstheme="minorBidi"/>
          <w:sz w:val="28"/>
          <w:szCs w:val="28"/>
        </w:rPr>
        <w:t xml:space="preserve">NCCRS and ACE provide </w:t>
      </w:r>
      <w:r w:rsidRPr="00C13AFC">
        <w:rPr>
          <w:rFonts w:asciiTheme="minorHAnsi" w:eastAsiaTheme="minorEastAsia" w:hAnsiTheme="minorHAnsi" w:cstheme="minorBidi"/>
          <w:sz w:val="28"/>
          <w:szCs w:val="28"/>
        </w:rPr>
        <w:t>evaluations, for a fee, of training that is offered by employers or other non-accredi</w:t>
      </w:r>
      <w:r>
        <w:rPr>
          <w:rFonts w:asciiTheme="minorHAnsi" w:eastAsiaTheme="minorEastAsia" w:hAnsiTheme="minorHAnsi" w:cstheme="minorBidi"/>
          <w:sz w:val="28"/>
          <w:szCs w:val="28"/>
        </w:rPr>
        <w:t>t</w:t>
      </w:r>
      <w:r w:rsidRPr="00C13AFC">
        <w:rPr>
          <w:rFonts w:asciiTheme="minorHAnsi" w:eastAsiaTheme="minorEastAsia" w:hAnsiTheme="minorHAnsi" w:cstheme="minorBidi"/>
          <w:sz w:val="28"/>
          <w:szCs w:val="28"/>
        </w:rPr>
        <w:t>ed provider training. ACE regularly makes credit recommendations for military training and occupations as part of a contract with the Department of Defense. Many employers also work directly with their local postsecondary institutions to evaluate</w:t>
      </w:r>
      <w:r>
        <w:rPr>
          <w:rFonts w:asciiTheme="minorHAnsi" w:eastAsiaTheme="minorEastAsia" w:hAnsiTheme="minorHAnsi" w:cstheme="minorBidi"/>
          <w:sz w:val="28"/>
          <w:szCs w:val="28"/>
        </w:rPr>
        <w:t xml:space="preserve"> their company’s training. Other </w:t>
      </w:r>
      <w:r w:rsidRPr="00C13AFC">
        <w:rPr>
          <w:rFonts w:asciiTheme="minorHAnsi" w:eastAsiaTheme="minorEastAsia" w:hAnsiTheme="minorHAnsi" w:cstheme="minorBidi"/>
          <w:sz w:val="28"/>
          <w:szCs w:val="28"/>
        </w:rPr>
        <w:t>institutions may offer credit based on performance assessment or a formal review of apprenticeship training, professional licenses, badges or other forms of micro-credentials</w:t>
      </w:r>
      <w:r>
        <w:rPr>
          <w:rFonts w:asciiTheme="minorHAnsi" w:eastAsiaTheme="minorEastAsia" w:hAnsiTheme="minorHAnsi" w:cstheme="minorBidi"/>
          <w:sz w:val="28"/>
          <w:szCs w:val="28"/>
        </w:rPr>
        <w:t>.</w:t>
      </w:r>
    </w:p>
    <w:p w14:paraId="0FA35F12"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0982FEBF" w14:textId="77777777" w:rsidR="009B477D" w:rsidRPr="00C13AFC" w:rsidRDefault="009B477D" w:rsidP="009B477D">
      <w:pPr>
        <w:rPr>
          <w:b/>
          <w:color w:val="000000" w:themeColor="text1"/>
          <w:kern w:val="24"/>
          <w:sz w:val="28"/>
          <w:szCs w:val="28"/>
        </w:rPr>
      </w:pPr>
      <w:r>
        <w:rPr>
          <w:b/>
          <w:color w:val="000000" w:themeColor="text1"/>
          <w:kern w:val="24"/>
          <w:sz w:val="28"/>
          <w:szCs w:val="28"/>
        </w:rPr>
        <w:t xml:space="preserve">Non-credit Certificates Articulating with Credit </w:t>
      </w:r>
      <w:r w:rsidRPr="00C13AFC">
        <w:rPr>
          <w:b/>
          <w:color w:val="000000" w:themeColor="text1"/>
          <w:kern w:val="24"/>
          <w:sz w:val="28"/>
          <w:szCs w:val="28"/>
        </w:rPr>
        <w:t xml:space="preserve"> </w:t>
      </w:r>
    </w:p>
    <w:p w14:paraId="0173AAA0" w14:textId="77777777" w:rsidR="009B477D" w:rsidRDefault="009B477D" w:rsidP="009B477D">
      <w:pPr>
        <w:rPr>
          <w:color w:val="000000" w:themeColor="text1"/>
          <w:kern w:val="24"/>
          <w:sz w:val="28"/>
          <w:szCs w:val="28"/>
        </w:rPr>
      </w:pPr>
    </w:p>
    <w:p w14:paraId="4D65694E" w14:textId="77777777" w:rsidR="009B477D" w:rsidRPr="00F50393" w:rsidRDefault="009B477D" w:rsidP="009B477D">
      <w:pPr>
        <w:rPr>
          <w:rFonts w:eastAsia="Times New Roman" w:cs="Times New Roman"/>
          <w:sz w:val="28"/>
          <w:szCs w:val="28"/>
        </w:rPr>
      </w:pPr>
      <w:r>
        <w:rPr>
          <w:color w:val="000000" w:themeColor="text1"/>
          <w:kern w:val="24"/>
          <w:sz w:val="28"/>
          <w:szCs w:val="28"/>
        </w:rPr>
        <w:t>Aligning non-credit certificates with credit courses is another way for certificates to be used for credit, thereby creating a career pathway from continuing education/workforce development training into degree programs. This pathway is created by</w:t>
      </w:r>
      <w:r w:rsidRPr="00C13AFC">
        <w:rPr>
          <w:color w:val="000000" w:themeColor="text1"/>
          <w:kern w:val="24"/>
          <w:sz w:val="28"/>
          <w:szCs w:val="28"/>
        </w:rPr>
        <w:t xml:space="preserve"> formally establish</w:t>
      </w:r>
      <w:r>
        <w:rPr>
          <w:color w:val="000000" w:themeColor="text1"/>
          <w:kern w:val="24"/>
          <w:sz w:val="28"/>
          <w:szCs w:val="28"/>
        </w:rPr>
        <w:t>ing</w:t>
      </w:r>
      <w:r w:rsidRPr="00C13AFC">
        <w:rPr>
          <w:color w:val="000000" w:themeColor="text1"/>
          <w:kern w:val="24"/>
          <w:sz w:val="28"/>
          <w:szCs w:val="28"/>
        </w:rPr>
        <w:t xml:space="preserve"> no</w:t>
      </w:r>
      <w:r>
        <w:rPr>
          <w:color w:val="000000" w:themeColor="text1"/>
          <w:kern w:val="24"/>
          <w:sz w:val="28"/>
          <w:szCs w:val="28"/>
        </w:rPr>
        <w:t>n-credit-to-credit</w:t>
      </w:r>
      <w:r w:rsidRPr="00C13AFC">
        <w:rPr>
          <w:color w:val="000000" w:themeColor="text1"/>
          <w:kern w:val="24"/>
          <w:sz w:val="28"/>
          <w:szCs w:val="28"/>
        </w:rPr>
        <w:t xml:space="preserve"> articulation agreements between </w:t>
      </w:r>
      <w:r>
        <w:rPr>
          <w:color w:val="000000" w:themeColor="text1"/>
          <w:kern w:val="24"/>
          <w:sz w:val="28"/>
          <w:szCs w:val="28"/>
        </w:rPr>
        <w:t>traditional a</w:t>
      </w:r>
      <w:r w:rsidRPr="00C13AFC">
        <w:rPr>
          <w:color w:val="000000" w:themeColor="text1"/>
          <w:kern w:val="24"/>
          <w:sz w:val="28"/>
          <w:szCs w:val="28"/>
        </w:rPr>
        <w:t>cademic departments and Continuing Education programs</w:t>
      </w:r>
      <w:r>
        <w:rPr>
          <w:color w:val="000000" w:themeColor="text1"/>
          <w:kern w:val="24"/>
          <w:sz w:val="28"/>
          <w:szCs w:val="28"/>
        </w:rPr>
        <w:t xml:space="preserve">. </w:t>
      </w:r>
      <w:r w:rsidRPr="00C13AFC">
        <w:rPr>
          <w:color w:val="000000" w:themeColor="text1"/>
          <w:kern w:val="24"/>
          <w:sz w:val="28"/>
          <w:szCs w:val="28"/>
        </w:rPr>
        <w:t>An articulation agreement</w:t>
      </w:r>
      <w:r w:rsidRPr="00C13AFC">
        <w:rPr>
          <w:rFonts w:eastAsia="Times New Roman" w:cs="Times New Roman"/>
          <w:sz w:val="28"/>
          <w:szCs w:val="28"/>
        </w:rPr>
        <w:t xml:space="preserve"> equates a non-credit course offering to a specific de</w:t>
      </w:r>
      <w:r>
        <w:rPr>
          <w:rFonts w:eastAsia="Times New Roman" w:cs="Times New Roman"/>
          <w:sz w:val="28"/>
          <w:szCs w:val="28"/>
        </w:rPr>
        <w:t>gree, course or courses</w:t>
      </w:r>
      <w:r w:rsidRPr="00C13AFC">
        <w:rPr>
          <w:rFonts w:eastAsia="Times New Roman" w:cs="Times New Roman"/>
          <w:sz w:val="28"/>
          <w:szCs w:val="28"/>
        </w:rPr>
        <w:t xml:space="preserve">, </w:t>
      </w:r>
      <w:r>
        <w:rPr>
          <w:rFonts w:eastAsia="Times New Roman" w:cs="Times New Roman"/>
          <w:sz w:val="28"/>
          <w:szCs w:val="28"/>
        </w:rPr>
        <w:t xml:space="preserve">thereby </w:t>
      </w:r>
      <w:r w:rsidRPr="00C13AFC">
        <w:rPr>
          <w:rFonts w:eastAsia="Times New Roman" w:cs="Times New Roman"/>
          <w:sz w:val="28"/>
          <w:szCs w:val="28"/>
        </w:rPr>
        <w:t>ens</w:t>
      </w:r>
      <w:r>
        <w:rPr>
          <w:rFonts w:eastAsia="Times New Roman" w:cs="Times New Roman"/>
          <w:sz w:val="28"/>
          <w:szCs w:val="28"/>
        </w:rPr>
        <w:t>uring academic quality and agreement</w:t>
      </w:r>
      <w:r w:rsidRPr="00C13AFC">
        <w:rPr>
          <w:rFonts w:eastAsia="Times New Roman" w:cs="Times New Roman"/>
          <w:sz w:val="28"/>
          <w:szCs w:val="28"/>
        </w:rPr>
        <w:t xml:space="preserve"> on-campus, i</w:t>
      </w:r>
      <w:r>
        <w:rPr>
          <w:rFonts w:eastAsia="Times New Roman" w:cs="Times New Roman"/>
          <w:sz w:val="28"/>
          <w:szCs w:val="28"/>
        </w:rPr>
        <w:t>ncentivizing</w:t>
      </w:r>
      <w:r w:rsidRPr="00C13AFC">
        <w:rPr>
          <w:rFonts w:eastAsia="Times New Roman" w:cs="Times New Roman"/>
          <w:sz w:val="28"/>
          <w:szCs w:val="28"/>
        </w:rPr>
        <w:t xml:space="preserve"> students to transition from non-credit to </w:t>
      </w:r>
      <w:r w:rsidRPr="00C13AFC">
        <w:rPr>
          <w:rFonts w:eastAsia="Times New Roman" w:cs="Times New Roman"/>
          <w:sz w:val="28"/>
          <w:szCs w:val="28"/>
        </w:rPr>
        <w:lastRenderedPageBreak/>
        <w:t>credit programs a</w:t>
      </w:r>
      <w:r>
        <w:rPr>
          <w:rFonts w:eastAsia="Times New Roman" w:cs="Times New Roman"/>
          <w:sz w:val="28"/>
          <w:szCs w:val="28"/>
        </w:rPr>
        <w:t>nd providing</w:t>
      </w:r>
      <w:r w:rsidRPr="00C13AFC">
        <w:rPr>
          <w:rFonts w:eastAsia="Times New Roman" w:cs="Times New Roman"/>
          <w:sz w:val="28"/>
          <w:szCs w:val="28"/>
        </w:rPr>
        <w:t xml:space="preserve"> an established rather than an ad hoc pathway</w:t>
      </w:r>
      <w:r>
        <w:rPr>
          <w:rFonts w:eastAsia="Times New Roman" w:cs="Times New Roman"/>
          <w:sz w:val="28"/>
          <w:szCs w:val="28"/>
        </w:rPr>
        <w:t xml:space="preserve"> between them</w:t>
      </w:r>
      <w:r w:rsidRPr="00C13AFC">
        <w:rPr>
          <w:rFonts w:eastAsia="Times New Roman" w:cs="Times New Roman"/>
          <w:sz w:val="28"/>
          <w:szCs w:val="28"/>
        </w:rPr>
        <w:t>.</w:t>
      </w:r>
      <w:r>
        <w:rPr>
          <w:rFonts w:eastAsia="Times New Roman" w:cs="Times New Roman"/>
          <w:sz w:val="28"/>
          <w:szCs w:val="28"/>
        </w:rPr>
        <w:t xml:space="preserve"> Below is an example of an MOU from LaGuardia Community College, CUNY, indicating equivalent credit in the Human Services major for a non-credit certificate as a Community Health Worker.</w:t>
      </w:r>
    </w:p>
    <w:p w14:paraId="4685C37B" w14:textId="77777777" w:rsidR="009B477D" w:rsidRPr="00C13AFC" w:rsidRDefault="009B477D" w:rsidP="009B477D">
      <w:pPr>
        <w:pStyle w:val="NormalWeb"/>
        <w:spacing w:before="0"/>
        <w:rPr>
          <w:rFonts w:asciiTheme="minorHAnsi" w:hAnsiTheme="minorHAnsi"/>
          <w:color w:val="000000" w:themeColor="text1"/>
          <w:kern w:val="24"/>
          <w:sz w:val="28"/>
          <w:szCs w:val="28"/>
        </w:rPr>
      </w:pPr>
      <w:r w:rsidRPr="00C13AFC">
        <w:rPr>
          <w:rFonts w:asciiTheme="minorHAnsi" w:hAnsiTheme="minorHAnsi"/>
          <w:noProof/>
          <w:color w:val="000000" w:themeColor="text1"/>
          <w:kern w:val="24"/>
          <w:sz w:val="28"/>
          <w:szCs w:val="28"/>
        </w:rPr>
        <w:drawing>
          <wp:inline distT="0" distB="0" distL="0" distR="0" wp14:anchorId="27C23E9B" wp14:editId="61E894AD">
            <wp:extent cx="5486400" cy="5878830"/>
            <wp:effectExtent l="0" t="0" r="0" b="0"/>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rotWithShape="1">
                    <a:blip r:embed="rId8"/>
                    <a:srcRect l="2911" t="2278" r="2690" b="19097"/>
                    <a:stretch/>
                  </pic:blipFill>
                  <pic:spPr bwMode="auto">
                    <a:xfrm>
                      <a:off x="0" y="0"/>
                      <a:ext cx="5486400" cy="5878830"/>
                    </a:xfrm>
                    <a:prstGeom prst="rect">
                      <a:avLst/>
                    </a:prstGeom>
                    <a:noFill/>
                    <a:ln w="9525">
                      <a:noFill/>
                      <a:miter lim="800000"/>
                      <a:headEnd/>
                      <a:tailEnd/>
                    </a:ln>
                  </pic:spPr>
                </pic:pic>
              </a:graphicData>
            </a:graphic>
          </wp:inline>
        </w:drawing>
      </w:r>
    </w:p>
    <w:p w14:paraId="14A92B70" w14:textId="77777777" w:rsidR="009B477D" w:rsidRPr="006C0786" w:rsidRDefault="009B477D" w:rsidP="009B477D">
      <w:pPr>
        <w:pStyle w:val="NormalWeb"/>
        <w:spacing w:before="0" w:beforeAutospacing="0" w:after="0" w:afterAutospacing="0"/>
        <w:rPr>
          <w:rFonts w:asciiTheme="minorHAnsi" w:eastAsiaTheme="minorEastAsia" w:hAnsiTheme="minorHAnsi"/>
          <w:color w:val="000000" w:themeColor="text1"/>
          <w:kern w:val="24"/>
          <w:sz w:val="28"/>
          <w:szCs w:val="28"/>
        </w:rPr>
      </w:pPr>
      <w:r w:rsidRPr="006C0786">
        <w:rPr>
          <w:rFonts w:asciiTheme="minorHAnsi" w:hAnsiTheme="minorHAnsi"/>
          <w:color w:val="000000" w:themeColor="text1"/>
          <w:kern w:val="24"/>
          <w:sz w:val="22"/>
          <w:szCs w:val="22"/>
        </w:rPr>
        <w:t>Example: Community Health Worker Certification Articulation Agreement (MOU) between ACE and Credit Department (Sept 2016) LaGuardia Community College. 176 hours) = 9 credits towards Human Services Associates Degree</w:t>
      </w:r>
      <w:r>
        <w:rPr>
          <w:rFonts w:asciiTheme="minorHAnsi" w:eastAsiaTheme="minorEastAsia" w:hAnsiTheme="minorHAnsi"/>
          <w:color w:val="000000" w:themeColor="text1"/>
          <w:kern w:val="24"/>
          <w:sz w:val="28"/>
          <w:szCs w:val="28"/>
        </w:rPr>
        <w:t>.</w:t>
      </w:r>
      <w:r w:rsidRPr="006C0786">
        <w:rPr>
          <w:rFonts w:asciiTheme="minorHAnsi" w:eastAsiaTheme="minorEastAsia" w:hAnsiTheme="minorHAnsi"/>
          <w:color w:val="000000" w:themeColor="text1"/>
          <w:kern w:val="24"/>
          <w:sz w:val="28"/>
          <w:szCs w:val="28"/>
        </w:rPr>
        <w:t xml:space="preserve">  </w:t>
      </w:r>
    </w:p>
    <w:p w14:paraId="38F434CA" w14:textId="77777777" w:rsidR="009B477D" w:rsidRPr="00F50393" w:rsidRDefault="009B477D" w:rsidP="009B477D">
      <w:pPr>
        <w:pStyle w:val="NormalWeb"/>
        <w:spacing w:before="0"/>
        <w:rPr>
          <w:rFonts w:asciiTheme="minorHAnsi" w:hAnsiTheme="minorHAnsi"/>
          <w:color w:val="000000" w:themeColor="text1"/>
          <w:kern w:val="24"/>
          <w:sz w:val="28"/>
          <w:szCs w:val="28"/>
        </w:rPr>
      </w:pPr>
      <w:r>
        <w:rPr>
          <w:rFonts w:asciiTheme="minorHAnsi" w:eastAsiaTheme="minorEastAsia" w:hAnsiTheme="minorHAnsi"/>
          <w:color w:val="000000" w:themeColor="text1"/>
          <w:kern w:val="24"/>
          <w:sz w:val="28"/>
          <w:szCs w:val="28"/>
        </w:rPr>
        <w:lastRenderedPageBreak/>
        <w:t>Note that this is an example of an internal document that t</w:t>
      </w:r>
      <w:r w:rsidRPr="00C13AFC">
        <w:rPr>
          <w:rFonts w:asciiTheme="minorHAnsi" w:eastAsiaTheme="minorEastAsia" w:hAnsiTheme="minorHAnsi"/>
          <w:color w:val="000000" w:themeColor="text1"/>
          <w:kern w:val="24"/>
          <w:sz w:val="28"/>
          <w:szCs w:val="28"/>
        </w:rPr>
        <w:t xml:space="preserve">he academic chair, program faculty, Adult and Continuing Education Administration and ACE Program director </w:t>
      </w:r>
      <w:r>
        <w:rPr>
          <w:rFonts w:asciiTheme="minorHAnsi" w:eastAsiaTheme="minorEastAsia" w:hAnsiTheme="minorHAnsi"/>
          <w:color w:val="000000" w:themeColor="text1"/>
          <w:kern w:val="24"/>
          <w:sz w:val="28"/>
          <w:szCs w:val="28"/>
        </w:rPr>
        <w:t>all approve</w:t>
      </w:r>
      <w:r w:rsidRPr="00C13AFC">
        <w:rPr>
          <w:rFonts w:asciiTheme="minorHAnsi" w:eastAsiaTheme="minorEastAsia" w:hAnsiTheme="minorHAnsi"/>
          <w:color w:val="000000" w:themeColor="text1"/>
          <w:kern w:val="24"/>
          <w:sz w:val="28"/>
          <w:szCs w:val="28"/>
        </w:rPr>
        <w:t xml:space="preserve">. </w:t>
      </w:r>
      <w:r>
        <w:rPr>
          <w:color w:val="000000" w:themeColor="text1"/>
          <w:kern w:val="24"/>
          <w:sz w:val="28"/>
          <w:szCs w:val="28"/>
        </w:rPr>
        <w:t xml:space="preserve">The following table illustrates additional </w:t>
      </w:r>
      <w:r w:rsidRPr="00C13AFC">
        <w:rPr>
          <w:color w:val="000000" w:themeColor="text1"/>
          <w:kern w:val="24"/>
          <w:sz w:val="28"/>
          <w:szCs w:val="28"/>
        </w:rPr>
        <w:t>examples</w:t>
      </w:r>
      <w:r>
        <w:rPr>
          <w:color w:val="000000" w:themeColor="text1"/>
          <w:kern w:val="24"/>
          <w:sz w:val="28"/>
          <w:szCs w:val="28"/>
        </w:rPr>
        <w:t xml:space="preserve"> of non-credit certificates, the equivalent credit-bearing courses and the number of credits for which the certificate is eligible once the student enrolls in at LaGuardia college.</w:t>
      </w:r>
    </w:p>
    <w:p w14:paraId="0B99FFB4" w14:textId="77777777" w:rsidR="009B477D" w:rsidRPr="00C13AFC" w:rsidRDefault="009B477D" w:rsidP="009B477D">
      <w:pPr>
        <w:pStyle w:val="NormalWeb"/>
        <w:spacing w:before="0" w:beforeAutospacing="0" w:after="0" w:afterAutospacing="0"/>
        <w:rPr>
          <w:rFonts w:asciiTheme="minorHAnsi" w:hAnsiTheme="minorHAnsi"/>
          <w:sz w:val="28"/>
          <w:szCs w:val="28"/>
        </w:rPr>
      </w:pPr>
    </w:p>
    <w:tbl>
      <w:tblPr>
        <w:tblW w:w="8540" w:type="dxa"/>
        <w:tblCellMar>
          <w:left w:w="0" w:type="dxa"/>
          <w:right w:w="0" w:type="dxa"/>
        </w:tblCellMar>
        <w:tblLook w:val="0420" w:firstRow="1" w:lastRow="0" w:firstColumn="0" w:lastColumn="0" w:noHBand="0" w:noVBand="1"/>
      </w:tblPr>
      <w:tblGrid>
        <w:gridCol w:w="3209"/>
        <w:gridCol w:w="1796"/>
        <w:gridCol w:w="2037"/>
        <w:gridCol w:w="1498"/>
      </w:tblGrid>
      <w:tr w:rsidR="009B477D" w:rsidRPr="00C13AFC" w14:paraId="1449640C" w14:textId="77777777" w:rsidTr="009B477D">
        <w:trPr>
          <w:trHeight w:val="1004"/>
        </w:trPr>
        <w:tc>
          <w:tcPr>
            <w:tcW w:w="3220"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14:paraId="2DF35975" w14:textId="77777777" w:rsidR="009B477D" w:rsidRPr="00C13AFC" w:rsidRDefault="009B477D" w:rsidP="009B477D">
            <w:pPr>
              <w:rPr>
                <w:sz w:val="28"/>
                <w:szCs w:val="28"/>
              </w:rPr>
            </w:pPr>
            <w:r w:rsidRPr="00C13AFC">
              <w:rPr>
                <w:b/>
                <w:bCs/>
                <w:sz w:val="28"/>
                <w:szCs w:val="28"/>
              </w:rPr>
              <w:t>Non-Credit Certificate Program</w:t>
            </w:r>
          </w:p>
        </w:tc>
        <w:tc>
          <w:tcPr>
            <w:tcW w:w="1800"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14:paraId="6BBBB8C4" w14:textId="77777777" w:rsidR="009B477D" w:rsidRPr="00C13AFC" w:rsidRDefault="009B477D" w:rsidP="009B477D">
            <w:pPr>
              <w:rPr>
                <w:sz w:val="28"/>
                <w:szCs w:val="28"/>
              </w:rPr>
            </w:pPr>
            <w:r w:rsidRPr="00C13AFC">
              <w:rPr>
                <w:b/>
                <w:bCs/>
                <w:sz w:val="28"/>
                <w:szCs w:val="28"/>
              </w:rPr>
              <w:t>Non-Credit Course Hours</w:t>
            </w:r>
          </w:p>
        </w:tc>
        <w:tc>
          <w:tcPr>
            <w:tcW w:w="2040"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14:paraId="1BAC1A30" w14:textId="77777777" w:rsidR="009B477D" w:rsidRPr="00C13AFC" w:rsidRDefault="009B477D" w:rsidP="009B477D">
            <w:pPr>
              <w:rPr>
                <w:sz w:val="28"/>
                <w:szCs w:val="28"/>
              </w:rPr>
            </w:pPr>
            <w:r w:rsidRPr="00C13AFC">
              <w:rPr>
                <w:b/>
                <w:bCs/>
                <w:sz w:val="28"/>
                <w:szCs w:val="28"/>
              </w:rPr>
              <w:t>Degree Bearing Program</w:t>
            </w:r>
          </w:p>
        </w:tc>
        <w:tc>
          <w:tcPr>
            <w:tcW w:w="1500" w:type="dxa"/>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14:paraId="347554F7" w14:textId="77777777" w:rsidR="009B477D" w:rsidRPr="00C13AFC" w:rsidRDefault="009B477D" w:rsidP="009B477D">
            <w:pPr>
              <w:rPr>
                <w:sz w:val="28"/>
                <w:szCs w:val="28"/>
              </w:rPr>
            </w:pPr>
            <w:r w:rsidRPr="00C13AFC">
              <w:rPr>
                <w:b/>
                <w:bCs/>
                <w:sz w:val="28"/>
                <w:szCs w:val="28"/>
              </w:rPr>
              <w:t>Credits</w:t>
            </w:r>
          </w:p>
        </w:tc>
      </w:tr>
      <w:tr w:rsidR="009B477D" w:rsidRPr="00C13AFC" w14:paraId="2CCAF49A" w14:textId="77777777" w:rsidTr="009B477D">
        <w:trPr>
          <w:trHeight w:val="1004"/>
        </w:trPr>
        <w:tc>
          <w:tcPr>
            <w:tcW w:w="3220"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5E8FCB71" w14:textId="77777777" w:rsidR="009B477D" w:rsidRPr="00C13AFC" w:rsidRDefault="009B477D" w:rsidP="009B477D">
            <w:pPr>
              <w:rPr>
                <w:sz w:val="28"/>
                <w:szCs w:val="28"/>
              </w:rPr>
            </w:pPr>
            <w:r w:rsidRPr="00C13AFC">
              <w:rPr>
                <w:sz w:val="28"/>
                <w:szCs w:val="28"/>
              </w:rPr>
              <w:t>Microsoft Office Certificate</w:t>
            </w:r>
          </w:p>
        </w:tc>
        <w:tc>
          <w:tcPr>
            <w:tcW w:w="1800"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4D7C98E6" w14:textId="77777777" w:rsidR="009B477D" w:rsidRPr="00C13AFC" w:rsidRDefault="009B477D" w:rsidP="009B477D">
            <w:pPr>
              <w:rPr>
                <w:sz w:val="28"/>
                <w:szCs w:val="28"/>
              </w:rPr>
            </w:pPr>
            <w:r w:rsidRPr="00C13AFC">
              <w:rPr>
                <w:sz w:val="28"/>
                <w:szCs w:val="28"/>
              </w:rPr>
              <w:t>78 Hrs</w:t>
            </w:r>
          </w:p>
        </w:tc>
        <w:tc>
          <w:tcPr>
            <w:tcW w:w="2040"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40028A25" w14:textId="77777777" w:rsidR="009B477D" w:rsidRPr="00C13AFC" w:rsidRDefault="009B477D" w:rsidP="009B477D">
            <w:pPr>
              <w:rPr>
                <w:sz w:val="28"/>
                <w:szCs w:val="28"/>
              </w:rPr>
            </w:pPr>
            <w:r w:rsidRPr="00C13AFC">
              <w:rPr>
                <w:sz w:val="28"/>
                <w:szCs w:val="28"/>
              </w:rPr>
              <w:t>Business &amp; Technology</w:t>
            </w:r>
          </w:p>
        </w:tc>
        <w:tc>
          <w:tcPr>
            <w:tcW w:w="1500" w:type="dxa"/>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3C7A7812" w14:textId="77777777" w:rsidR="009B477D" w:rsidRPr="00C13AFC" w:rsidRDefault="009B477D" w:rsidP="009B477D">
            <w:pPr>
              <w:rPr>
                <w:sz w:val="28"/>
                <w:szCs w:val="28"/>
              </w:rPr>
            </w:pPr>
            <w:r w:rsidRPr="00C13AFC">
              <w:rPr>
                <w:sz w:val="28"/>
                <w:szCs w:val="28"/>
              </w:rPr>
              <w:t>3 credits</w:t>
            </w:r>
          </w:p>
          <w:p w14:paraId="415D2115" w14:textId="77777777" w:rsidR="009B477D" w:rsidRPr="00C13AFC" w:rsidRDefault="009B477D" w:rsidP="009B477D">
            <w:pPr>
              <w:rPr>
                <w:sz w:val="28"/>
                <w:szCs w:val="28"/>
              </w:rPr>
            </w:pPr>
            <w:r w:rsidRPr="00C13AFC">
              <w:rPr>
                <w:sz w:val="28"/>
                <w:szCs w:val="28"/>
              </w:rPr>
              <w:t>BTC 100</w:t>
            </w:r>
          </w:p>
        </w:tc>
      </w:tr>
      <w:tr w:rsidR="009B477D" w:rsidRPr="00C13AFC" w14:paraId="2FB1A905" w14:textId="77777777" w:rsidTr="009B477D">
        <w:trPr>
          <w:trHeight w:val="1004"/>
        </w:trPr>
        <w:tc>
          <w:tcPr>
            <w:tcW w:w="32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11686D9" w14:textId="77777777" w:rsidR="009B477D" w:rsidRPr="00C13AFC" w:rsidRDefault="009B477D" w:rsidP="009B477D">
            <w:pPr>
              <w:rPr>
                <w:sz w:val="28"/>
                <w:szCs w:val="28"/>
              </w:rPr>
            </w:pPr>
            <w:r w:rsidRPr="00C13AFC">
              <w:rPr>
                <w:sz w:val="28"/>
                <w:szCs w:val="28"/>
              </w:rPr>
              <w:t>Computer Service Technician Certificate</w:t>
            </w:r>
          </w:p>
        </w:tc>
        <w:tc>
          <w:tcPr>
            <w:tcW w:w="18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83FF092" w14:textId="77777777" w:rsidR="009B477D" w:rsidRPr="00C13AFC" w:rsidRDefault="009B477D" w:rsidP="009B477D">
            <w:pPr>
              <w:rPr>
                <w:sz w:val="28"/>
                <w:szCs w:val="28"/>
              </w:rPr>
            </w:pPr>
            <w:r w:rsidRPr="00C13AFC">
              <w:rPr>
                <w:sz w:val="28"/>
                <w:szCs w:val="28"/>
              </w:rPr>
              <w:t>80 Hrs</w:t>
            </w:r>
          </w:p>
        </w:tc>
        <w:tc>
          <w:tcPr>
            <w:tcW w:w="204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7FD04A8" w14:textId="77777777" w:rsidR="009B477D" w:rsidRPr="00C13AFC" w:rsidRDefault="009B477D" w:rsidP="009B477D">
            <w:pPr>
              <w:rPr>
                <w:sz w:val="28"/>
                <w:szCs w:val="28"/>
              </w:rPr>
            </w:pPr>
            <w:r w:rsidRPr="00C13AFC">
              <w:rPr>
                <w:sz w:val="28"/>
                <w:szCs w:val="28"/>
              </w:rPr>
              <w:t>Computer Science</w:t>
            </w:r>
          </w:p>
        </w:tc>
        <w:tc>
          <w:tcPr>
            <w:tcW w:w="15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0A86A63" w14:textId="77777777" w:rsidR="009B477D" w:rsidRPr="00C13AFC" w:rsidRDefault="009B477D" w:rsidP="009B477D">
            <w:pPr>
              <w:rPr>
                <w:sz w:val="28"/>
                <w:szCs w:val="28"/>
              </w:rPr>
            </w:pPr>
            <w:r w:rsidRPr="00C13AFC">
              <w:rPr>
                <w:sz w:val="28"/>
                <w:szCs w:val="28"/>
              </w:rPr>
              <w:t xml:space="preserve">4 credits </w:t>
            </w:r>
          </w:p>
          <w:p w14:paraId="48062B23" w14:textId="77777777" w:rsidR="009B477D" w:rsidRPr="00C13AFC" w:rsidRDefault="009B477D" w:rsidP="009B477D">
            <w:pPr>
              <w:rPr>
                <w:sz w:val="28"/>
                <w:szCs w:val="28"/>
              </w:rPr>
            </w:pPr>
            <w:r w:rsidRPr="00C13AFC">
              <w:rPr>
                <w:sz w:val="28"/>
                <w:szCs w:val="28"/>
              </w:rPr>
              <w:t>MAC 293</w:t>
            </w:r>
          </w:p>
        </w:tc>
      </w:tr>
      <w:tr w:rsidR="009B477D" w:rsidRPr="00C13AFC" w14:paraId="7AB4779D" w14:textId="77777777" w:rsidTr="009B477D">
        <w:trPr>
          <w:trHeight w:val="1004"/>
        </w:trPr>
        <w:tc>
          <w:tcPr>
            <w:tcW w:w="322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4DADED59" w14:textId="77777777" w:rsidR="009B477D" w:rsidRPr="00C13AFC" w:rsidRDefault="009B477D" w:rsidP="009B477D">
            <w:pPr>
              <w:rPr>
                <w:sz w:val="28"/>
                <w:szCs w:val="28"/>
              </w:rPr>
            </w:pPr>
            <w:r w:rsidRPr="00C13AFC">
              <w:rPr>
                <w:sz w:val="28"/>
                <w:szCs w:val="28"/>
              </w:rPr>
              <w:t>Community Healthcare Worker Certificate</w:t>
            </w:r>
          </w:p>
        </w:tc>
        <w:tc>
          <w:tcPr>
            <w:tcW w:w="180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24774294" w14:textId="77777777" w:rsidR="009B477D" w:rsidRPr="00C13AFC" w:rsidRDefault="009B477D" w:rsidP="009B477D">
            <w:pPr>
              <w:rPr>
                <w:sz w:val="28"/>
                <w:szCs w:val="28"/>
              </w:rPr>
            </w:pPr>
            <w:r w:rsidRPr="00C13AFC">
              <w:rPr>
                <w:sz w:val="28"/>
                <w:szCs w:val="28"/>
              </w:rPr>
              <w:t>176 Hrs</w:t>
            </w:r>
          </w:p>
        </w:tc>
        <w:tc>
          <w:tcPr>
            <w:tcW w:w="204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0E41FA0A" w14:textId="77777777" w:rsidR="009B477D" w:rsidRPr="00C13AFC" w:rsidRDefault="009B477D" w:rsidP="009B477D">
            <w:pPr>
              <w:rPr>
                <w:sz w:val="28"/>
                <w:szCs w:val="28"/>
              </w:rPr>
            </w:pPr>
            <w:r w:rsidRPr="00C13AFC">
              <w:rPr>
                <w:sz w:val="28"/>
                <w:szCs w:val="28"/>
              </w:rPr>
              <w:t xml:space="preserve">Human Services </w:t>
            </w:r>
          </w:p>
        </w:tc>
        <w:tc>
          <w:tcPr>
            <w:tcW w:w="150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1422160C" w14:textId="77777777" w:rsidR="009B477D" w:rsidRPr="00C13AFC" w:rsidRDefault="009B477D" w:rsidP="009B477D">
            <w:pPr>
              <w:rPr>
                <w:sz w:val="28"/>
                <w:szCs w:val="28"/>
              </w:rPr>
            </w:pPr>
            <w:r w:rsidRPr="00C13AFC">
              <w:rPr>
                <w:sz w:val="28"/>
                <w:szCs w:val="28"/>
              </w:rPr>
              <w:t>9 credits</w:t>
            </w:r>
          </w:p>
        </w:tc>
      </w:tr>
      <w:tr w:rsidR="009B477D" w:rsidRPr="00C13AFC" w14:paraId="58BCA521" w14:textId="77777777" w:rsidTr="009B477D">
        <w:trPr>
          <w:trHeight w:val="1004"/>
        </w:trPr>
        <w:tc>
          <w:tcPr>
            <w:tcW w:w="32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85DB725" w14:textId="77777777" w:rsidR="009B477D" w:rsidRPr="00C13AFC" w:rsidRDefault="009B477D" w:rsidP="009B477D">
            <w:pPr>
              <w:rPr>
                <w:sz w:val="28"/>
                <w:szCs w:val="28"/>
              </w:rPr>
            </w:pPr>
            <w:r w:rsidRPr="00C13AFC">
              <w:rPr>
                <w:sz w:val="28"/>
                <w:szCs w:val="28"/>
              </w:rPr>
              <w:t>Medical Billing Specialist Certificate</w:t>
            </w:r>
          </w:p>
        </w:tc>
        <w:tc>
          <w:tcPr>
            <w:tcW w:w="18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E48030C" w14:textId="77777777" w:rsidR="009B477D" w:rsidRPr="00C13AFC" w:rsidRDefault="009B477D" w:rsidP="009B477D">
            <w:pPr>
              <w:rPr>
                <w:sz w:val="28"/>
                <w:szCs w:val="28"/>
              </w:rPr>
            </w:pPr>
            <w:r w:rsidRPr="00C13AFC">
              <w:rPr>
                <w:sz w:val="28"/>
                <w:szCs w:val="28"/>
              </w:rPr>
              <w:t>150 Hrs</w:t>
            </w:r>
          </w:p>
        </w:tc>
        <w:tc>
          <w:tcPr>
            <w:tcW w:w="204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BA9BFE5" w14:textId="77777777" w:rsidR="009B477D" w:rsidRPr="00C13AFC" w:rsidRDefault="009B477D" w:rsidP="009B477D">
            <w:pPr>
              <w:rPr>
                <w:sz w:val="28"/>
                <w:szCs w:val="28"/>
              </w:rPr>
            </w:pPr>
            <w:r w:rsidRPr="00C13AFC">
              <w:rPr>
                <w:sz w:val="28"/>
                <w:szCs w:val="28"/>
              </w:rPr>
              <w:t>Business &amp; Technology</w:t>
            </w:r>
          </w:p>
        </w:tc>
        <w:tc>
          <w:tcPr>
            <w:tcW w:w="150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A339A8B" w14:textId="77777777" w:rsidR="009B477D" w:rsidRPr="00C13AFC" w:rsidRDefault="009B477D" w:rsidP="009B477D">
            <w:pPr>
              <w:rPr>
                <w:sz w:val="28"/>
                <w:szCs w:val="28"/>
              </w:rPr>
            </w:pPr>
            <w:r w:rsidRPr="00C13AFC">
              <w:rPr>
                <w:sz w:val="28"/>
                <w:szCs w:val="28"/>
              </w:rPr>
              <w:t>9 credits</w:t>
            </w:r>
          </w:p>
        </w:tc>
      </w:tr>
      <w:tr w:rsidR="009B477D" w:rsidRPr="00C13AFC" w14:paraId="32657A67" w14:textId="77777777" w:rsidTr="009B477D">
        <w:trPr>
          <w:trHeight w:val="1004"/>
        </w:trPr>
        <w:tc>
          <w:tcPr>
            <w:tcW w:w="322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5817CCA3" w14:textId="77777777" w:rsidR="009B477D" w:rsidRPr="00C13AFC" w:rsidRDefault="009B477D" w:rsidP="009B477D">
            <w:pPr>
              <w:rPr>
                <w:sz w:val="28"/>
                <w:szCs w:val="28"/>
              </w:rPr>
            </w:pPr>
            <w:r w:rsidRPr="00C13AFC">
              <w:rPr>
                <w:sz w:val="28"/>
                <w:szCs w:val="28"/>
              </w:rPr>
              <w:t>The English Language Center</w:t>
            </w:r>
          </w:p>
        </w:tc>
        <w:tc>
          <w:tcPr>
            <w:tcW w:w="180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24126767" w14:textId="77777777" w:rsidR="009B477D" w:rsidRPr="00C13AFC" w:rsidRDefault="009B477D" w:rsidP="009B477D">
            <w:pPr>
              <w:rPr>
                <w:sz w:val="28"/>
                <w:szCs w:val="28"/>
              </w:rPr>
            </w:pPr>
            <w:r w:rsidRPr="00C13AFC">
              <w:rPr>
                <w:sz w:val="28"/>
                <w:szCs w:val="28"/>
              </w:rPr>
              <w:t>45 Hrs</w:t>
            </w:r>
          </w:p>
        </w:tc>
        <w:tc>
          <w:tcPr>
            <w:tcW w:w="204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71159A41" w14:textId="77777777" w:rsidR="009B477D" w:rsidRPr="00C13AFC" w:rsidRDefault="009B477D" w:rsidP="009B477D">
            <w:pPr>
              <w:rPr>
                <w:sz w:val="28"/>
                <w:szCs w:val="28"/>
              </w:rPr>
            </w:pPr>
            <w:r w:rsidRPr="00C13AFC">
              <w:rPr>
                <w:sz w:val="28"/>
                <w:szCs w:val="28"/>
              </w:rPr>
              <w:t>Business &amp; Technology</w:t>
            </w:r>
          </w:p>
        </w:tc>
        <w:tc>
          <w:tcPr>
            <w:tcW w:w="1500" w:type="dxa"/>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14:paraId="64CBA686" w14:textId="77777777" w:rsidR="009B477D" w:rsidRPr="00C13AFC" w:rsidRDefault="009B477D" w:rsidP="009B477D">
            <w:pPr>
              <w:rPr>
                <w:sz w:val="28"/>
                <w:szCs w:val="28"/>
              </w:rPr>
            </w:pPr>
            <w:r w:rsidRPr="00C13AFC">
              <w:rPr>
                <w:sz w:val="28"/>
                <w:szCs w:val="28"/>
              </w:rPr>
              <w:t xml:space="preserve">3 credits </w:t>
            </w:r>
          </w:p>
          <w:p w14:paraId="73C046B5" w14:textId="77777777" w:rsidR="009B477D" w:rsidRPr="00C13AFC" w:rsidRDefault="009B477D" w:rsidP="009B477D">
            <w:pPr>
              <w:rPr>
                <w:sz w:val="28"/>
                <w:szCs w:val="28"/>
              </w:rPr>
            </w:pPr>
            <w:r w:rsidRPr="00C13AFC">
              <w:rPr>
                <w:sz w:val="28"/>
                <w:szCs w:val="28"/>
              </w:rPr>
              <w:t>BTM 101</w:t>
            </w:r>
          </w:p>
        </w:tc>
      </w:tr>
    </w:tbl>
    <w:p w14:paraId="7A158394" w14:textId="77777777" w:rsidR="009B477D" w:rsidRPr="00C13AFC" w:rsidRDefault="009B477D" w:rsidP="009B477D">
      <w:pPr>
        <w:rPr>
          <w:sz w:val="28"/>
          <w:szCs w:val="28"/>
        </w:rPr>
      </w:pPr>
    </w:p>
    <w:p w14:paraId="2665AD84" w14:textId="77777777" w:rsidR="009B477D" w:rsidRPr="00C13AFC" w:rsidRDefault="009B477D" w:rsidP="009B477D">
      <w:pPr>
        <w:rPr>
          <w:sz w:val="28"/>
          <w:szCs w:val="28"/>
        </w:rPr>
      </w:pPr>
      <w:r>
        <w:rPr>
          <w:sz w:val="28"/>
          <w:szCs w:val="28"/>
        </w:rPr>
        <w:t>Other examples across CUNY and SUNY exist such as a</w:t>
      </w:r>
      <w:r w:rsidRPr="00C13AFC">
        <w:rPr>
          <w:sz w:val="28"/>
          <w:szCs w:val="28"/>
        </w:rPr>
        <w:t xml:space="preserve"> similar articulation agreement at Hostos</w:t>
      </w:r>
      <w:r>
        <w:rPr>
          <w:sz w:val="28"/>
          <w:szCs w:val="28"/>
        </w:rPr>
        <w:t xml:space="preserve"> Community College in </w:t>
      </w:r>
      <w:r w:rsidRPr="00C13AFC">
        <w:rPr>
          <w:sz w:val="28"/>
          <w:szCs w:val="28"/>
        </w:rPr>
        <w:t xml:space="preserve">Health Information Technology (6 credits) </w:t>
      </w:r>
      <w:r>
        <w:rPr>
          <w:sz w:val="28"/>
          <w:szCs w:val="28"/>
        </w:rPr>
        <w:t xml:space="preserve">and </w:t>
      </w:r>
      <w:r w:rsidRPr="00C13AFC">
        <w:rPr>
          <w:sz w:val="28"/>
          <w:szCs w:val="28"/>
        </w:rPr>
        <w:t>Community Health Worker (9 credits)</w:t>
      </w:r>
      <w:r>
        <w:rPr>
          <w:sz w:val="28"/>
          <w:szCs w:val="28"/>
        </w:rPr>
        <w:t xml:space="preserve">. SUNY </w:t>
      </w:r>
      <w:r w:rsidRPr="00C13AFC">
        <w:rPr>
          <w:sz w:val="28"/>
          <w:szCs w:val="28"/>
        </w:rPr>
        <w:t>Dutchess Community College</w:t>
      </w:r>
      <w:r>
        <w:rPr>
          <w:sz w:val="28"/>
          <w:szCs w:val="28"/>
        </w:rPr>
        <w:t xml:space="preserve"> allows 4 credits for Construction and </w:t>
      </w:r>
      <w:r w:rsidRPr="00C13AFC">
        <w:rPr>
          <w:sz w:val="28"/>
          <w:szCs w:val="28"/>
        </w:rPr>
        <w:t xml:space="preserve">Finger Lakes &amp; Monroe </w:t>
      </w:r>
      <w:r>
        <w:rPr>
          <w:sz w:val="28"/>
          <w:szCs w:val="28"/>
        </w:rPr>
        <w:t>C</w:t>
      </w:r>
      <w:r w:rsidRPr="00C13AFC">
        <w:rPr>
          <w:sz w:val="28"/>
          <w:szCs w:val="28"/>
        </w:rPr>
        <w:t xml:space="preserve">ommunity </w:t>
      </w:r>
      <w:r>
        <w:rPr>
          <w:sz w:val="28"/>
          <w:szCs w:val="28"/>
        </w:rPr>
        <w:t>C</w:t>
      </w:r>
      <w:r w:rsidRPr="00C13AFC">
        <w:rPr>
          <w:sz w:val="28"/>
          <w:szCs w:val="28"/>
        </w:rPr>
        <w:t>ollege</w:t>
      </w:r>
      <w:r>
        <w:rPr>
          <w:sz w:val="28"/>
          <w:szCs w:val="28"/>
        </w:rPr>
        <w:t>s waive up to 15 credits for A</w:t>
      </w:r>
      <w:r w:rsidRPr="00C13AFC">
        <w:rPr>
          <w:sz w:val="28"/>
          <w:szCs w:val="28"/>
        </w:rPr>
        <w:t>dvanced Manufacturing Machinist Training in partnership with G.</w:t>
      </w:r>
      <w:r>
        <w:rPr>
          <w:sz w:val="28"/>
          <w:szCs w:val="28"/>
        </w:rPr>
        <w:t xml:space="preserve"> W. Lisk C</w:t>
      </w:r>
      <w:r w:rsidRPr="00C13AFC">
        <w:rPr>
          <w:sz w:val="28"/>
          <w:szCs w:val="28"/>
        </w:rPr>
        <w:t>ompany</w:t>
      </w:r>
      <w:r>
        <w:rPr>
          <w:sz w:val="28"/>
          <w:szCs w:val="28"/>
        </w:rPr>
        <w:t>.</w:t>
      </w:r>
      <w:r w:rsidRPr="00C13AFC">
        <w:rPr>
          <w:sz w:val="28"/>
          <w:szCs w:val="28"/>
        </w:rPr>
        <w:t xml:space="preserve">            </w:t>
      </w:r>
    </w:p>
    <w:p w14:paraId="25BE7865" w14:textId="77777777" w:rsidR="009B477D" w:rsidRPr="00C13AFC" w:rsidRDefault="009B477D" w:rsidP="009B477D">
      <w:pPr>
        <w:rPr>
          <w:sz w:val="28"/>
          <w:szCs w:val="28"/>
        </w:rPr>
      </w:pPr>
    </w:p>
    <w:p w14:paraId="171D938F" w14:textId="77777777" w:rsidR="009B477D" w:rsidRDefault="009B477D" w:rsidP="009B477D">
      <w:pPr>
        <w:rPr>
          <w:sz w:val="28"/>
          <w:szCs w:val="28"/>
        </w:rPr>
      </w:pPr>
      <w:r>
        <w:rPr>
          <w:sz w:val="28"/>
          <w:szCs w:val="28"/>
        </w:rPr>
        <w:lastRenderedPageBreak/>
        <w:t xml:space="preserve">The key to success in articulating non-credit to credit, is collaboration between both areas of the college. In order </w:t>
      </w:r>
      <w:r w:rsidRPr="00C13AFC">
        <w:rPr>
          <w:sz w:val="28"/>
          <w:szCs w:val="28"/>
        </w:rPr>
        <w:t>to a</w:t>
      </w:r>
      <w:r>
        <w:rPr>
          <w:sz w:val="28"/>
          <w:szCs w:val="28"/>
        </w:rPr>
        <w:t xml:space="preserve">lign the non-credit </w:t>
      </w:r>
      <w:r w:rsidRPr="00C13AFC">
        <w:rPr>
          <w:sz w:val="28"/>
          <w:szCs w:val="28"/>
        </w:rPr>
        <w:t>cou</w:t>
      </w:r>
      <w:r>
        <w:rPr>
          <w:sz w:val="28"/>
          <w:szCs w:val="28"/>
        </w:rPr>
        <w:t xml:space="preserve">rses to the college curriculum the following must happen: </w:t>
      </w:r>
      <w:r w:rsidRPr="00C13AFC">
        <w:rPr>
          <w:sz w:val="28"/>
          <w:szCs w:val="28"/>
        </w:rPr>
        <w:t>evaluat</w:t>
      </w:r>
      <w:r>
        <w:rPr>
          <w:sz w:val="28"/>
          <w:szCs w:val="28"/>
        </w:rPr>
        <w:t>ion of</w:t>
      </w:r>
      <w:r w:rsidRPr="00C13AFC">
        <w:rPr>
          <w:sz w:val="28"/>
          <w:szCs w:val="28"/>
        </w:rPr>
        <w:t xml:space="preserve"> students</w:t>
      </w:r>
      <w:r>
        <w:rPr>
          <w:sz w:val="28"/>
          <w:szCs w:val="28"/>
        </w:rPr>
        <w:t>’</w:t>
      </w:r>
      <w:r w:rsidRPr="00C13AFC">
        <w:rPr>
          <w:sz w:val="28"/>
          <w:szCs w:val="28"/>
        </w:rPr>
        <w:t xml:space="preserve"> academic skill levels </w:t>
      </w:r>
      <w:r>
        <w:rPr>
          <w:sz w:val="28"/>
          <w:szCs w:val="28"/>
        </w:rPr>
        <w:t>to determine</w:t>
      </w:r>
      <w:r w:rsidRPr="00C13AFC">
        <w:rPr>
          <w:sz w:val="28"/>
          <w:szCs w:val="28"/>
        </w:rPr>
        <w:t xml:space="preserve"> that they align with program requirements; adequate support services</w:t>
      </w:r>
      <w:r>
        <w:rPr>
          <w:sz w:val="28"/>
          <w:szCs w:val="28"/>
        </w:rPr>
        <w:t>;</w:t>
      </w:r>
      <w:r w:rsidRPr="00C13AFC">
        <w:rPr>
          <w:sz w:val="28"/>
          <w:szCs w:val="28"/>
        </w:rPr>
        <w:t xml:space="preserve"> and faculty and staff support and buy-in. Reviewing the articulation agreement annually is recommended and student wrap</w:t>
      </w:r>
      <w:r>
        <w:rPr>
          <w:sz w:val="28"/>
          <w:szCs w:val="28"/>
        </w:rPr>
        <w:t>-</w:t>
      </w:r>
      <w:r w:rsidRPr="00C13AFC">
        <w:rPr>
          <w:sz w:val="28"/>
          <w:szCs w:val="28"/>
        </w:rPr>
        <w:t>arou</w:t>
      </w:r>
      <w:r>
        <w:rPr>
          <w:sz w:val="28"/>
          <w:szCs w:val="28"/>
        </w:rPr>
        <w:t>nd support services should be</w:t>
      </w:r>
      <w:r w:rsidRPr="00C13AFC">
        <w:rPr>
          <w:sz w:val="28"/>
          <w:szCs w:val="28"/>
        </w:rPr>
        <w:t xml:space="preserve"> part of program design.</w:t>
      </w:r>
    </w:p>
    <w:p w14:paraId="64B298C2" w14:textId="77777777" w:rsidR="009B477D" w:rsidRDefault="009B477D" w:rsidP="009B477D">
      <w:pPr>
        <w:rPr>
          <w:sz w:val="28"/>
          <w:szCs w:val="28"/>
        </w:rPr>
      </w:pPr>
    </w:p>
    <w:p w14:paraId="329B3314" w14:textId="77777777" w:rsidR="009B477D" w:rsidRDefault="009B477D" w:rsidP="009B477D">
      <w:pPr>
        <w:rPr>
          <w:color w:val="000000" w:themeColor="text1"/>
          <w:kern w:val="24"/>
          <w:sz w:val="28"/>
          <w:szCs w:val="28"/>
        </w:rPr>
      </w:pPr>
      <w:r w:rsidRPr="00C13AFC">
        <w:rPr>
          <w:color w:val="000000" w:themeColor="text1"/>
          <w:kern w:val="24"/>
          <w:sz w:val="28"/>
          <w:szCs w:val="28"/>
        </w:rPr>
        <w:t xml:space="preserve">The benefits of an articulation agreement are numerous; </w:t>
      </w:r>
      <w:r w:rsidRPr="00C13AFC">
        <w:rPr>
          <w:sz w:val="28"/>
          <w:szCs w:val="28"/>
        </w:rPr>
        <w:t>there is c</w:t>
      </w:r>
      <w:r w:rsidRPr="00C13AFC">
        <w:rPr>
          <w:color w:val="000000" w:themeColor="text1"/>
          <w:kern w:val="24"/>
          <w:sz w:val="28"/>
          <w:szCs w:val="28"/>
        </w:rPr>
        <w:t>larity of aligning program to specific course or course, which prevents confusion</w:t>
      </w:r>
      <w:r w:rsidRPr="00C13AFC">
        <w:rPr>
          <w:sz w:val="28"/>
          <w:szCs w:val="28"/>
        </w:rPr>
        <w:t xml:space="preserve"> and e</w:t>
      </w:r>
      <w:r w:rsidRPr="00C13AFC">
        <w:rPr>
          <w:color w:val="000000" w:themeColor="text1"/>
          <w:kern w:val="24"/>
          <w:sz w:val="28"/>
          <w:szCs w:val="28"/>
        </w:rPr>
        <w:t>nsures academic rigor, it clearly indicates faculty buy-in on campus; it can be used in marketing</w:t>
      </w:r>
      <w:r w:rsidRPr="00C13AFC">
        <w:rPr>
          <w:sz w:val="28"/>
          <w:szCs w:val="28"/>
        </w:rPr>
        <w:t xml:space="preserve"> and a</w:t>
      </w:r>
      <w:r w:rsidRPr="00C13AFC">
        <w:rPr>
          <w:color w:val="000000" w:themeColor="text1"/>
          <w:kern w:val="24"/>
          <w:sz w:val="28"/>
          <w:szCs w:val="28"/>
        </w:rPr>
        <w:t xml:space="preserve">cts as incentive to students to seek a degree; finally, it creates established pathway for students rather than each student fighting their own fight. </w:t>
      </w:r>
    </w:p>
    <w:p w14:paraId="07034FA0" w14:textId="77777777" w:rsidR="009B477D" w:rsidRPr="00C13AFC" w:rsidRDefault="009B477D" w:rsidP="009B477D">
      <w:pPr>
        <w:rPr>
          <w:sz w:val="28"/>
          <w:szCs w:val="28"/>
        </w:rPr>
      </w:pPr>
    </w:p>
    <w:p w14:paraId="251259EF" w14:textId="77777777" w:rsidR="009B477D" w:rsidRDefault="009B477D" w:rsidP="009B477D">
      <w:pPr>
        <w:rPr>
          <w:sz w:val="28"/>
          <w:szCs w:val="28"/>
        </w:rPr>
      </w:pPr>
      <w:r w:rsidRPr="00C13AFC">
        <w:rPr>
          <w:sz w:val="28"/>
          <w:szCs w:val="28"/>
        </w:rPr>
        <w:t>There are m</w:t>
      </w:r>
      <w:r>
        <w:rPr>
          <w:sz w:val="28"/>
          <w:szCs w:val="28"/>
        </w:rPr>
        <w:t>any</w:t>
      </w:r>
      <w:r w:rsidRPr="00C13AFC">
        <w:rPr>
          <w:sz w:val="28"/>
          <w:szCs w:val="28"/>
        </w:rPr>
        <w:t xml:space="preserve"> strengths </w:t>
      </w:r>
      <w:r>
        <w:rPr>
          <w:sz w:val="28"/>
          <w:szCs w:val="28"/>
        </w:rPr>
        <w:t>in</w:t>
      </w:r>
      <w:r w:rsidRPr="00C13AFC">
        <w:rPr>
          <w:sz w:val="28"/>
          <w:szCs w:val="28"/>
        </w:rPr>
        <w:t xml:space="preserve"> this model, for example, s</w:t>
      </w:r>
      <w:r>
        <w:rPr>
          <w:sz w:val="28"/>
          <w:szCs w:val="28"/>
        </w:rPr>
        <w:t xml:space="preserve">tudents have flexibility and </w:t>
      </w:r>
      <w:r w:rsidRPr="00C13AFC">
        <w:rPr>
          <w:sz w:val="28"/>
          <w:szCs w:val="28"/>
        </w:rPr>
        <w:t>control over their schedule</w:t>
      </w:r>
      <w:r>
        <w:rPr>
          <w:sz w:val="28"/>
          <w:szCs w:val="28"/>
        </w:rPr>
        <w:t>;</w:t>
      </w:r>
      <w:r w:rsidRPr="00C13AFC">
        <w:rPr>
          <w:sz w:val="28"/>
          <w:szCs w:val="28"/>
        </w:rPr>
        <w:t xml:space="preserve"> it is easier for them to transition </w:t>
      </w:r>
      <w:r>
        <w:rPr>
          <w:sz w:val="28"/>
          <w:szCs w:val="28"/>
        </w:rPr>
        <w:t>in</w:t>
      </w:r>
      <w:r w:rsidRPr="00C13AFC">
        <w:rPr>
          <w:sz w:val="28"/>
          <w:szCs w:val="28"/>
        </w:rPr>
        <w:t>to an academic environment</w:t>
      </w:r>
      <w:r>
        <w:rPr>
          <w:sz w:val="28"/>
          <w:szCs w:val="28"/>
        </w:rPr>
        <w:t>;</w:t>
      </w:r>
      <w:r w:rsidRPr="00C13AFC">
        <w:rPr>
          <w:sz w:val="28"/>
          <w:szCs w:val="28"/>
        </w:rPr>
        <w:t xml:space="preserve"> </w:t>
      </w:r>
      <w:r>
        <w:rPr>
          <w:sz w:val="28"/>
          <w:szCs w:val="28"/>
        </w:rPr>
        <w:t xml:space="preserve">non-credit </w:t>
      </w:r>
      <w:r w:rsidRPr="00C13AFC">
        <w:rPr>
          <w:sz w:val="28"/>
          <w:szCs w:val="28"/>
        </w:rPr>
        <w:t xml:space="preserve">courses are less expensive than </w:t>
      </w:r>
      <w:r>
        <w:rPr>
          <w:sz w:val="28"/>
          <w:szCs w:val="28"/>
        </w:rPr>
        <w:t xml:space="preserve">their </w:t>
      </w:r>
      <w:r w:rsidRPr="00C13AFC">
        <w:rPr>
          <w:sz w:val="28"/>
          <w:szCs w:val="28"/>
        </w:rPr>
        <w:t>credit-bearing counterparts (and sometimes free if t</w:t>
      </w:r>
      <w:r>
        <w:rPr>
          <w:sz w:val="28"/>
          <w:szCs w:val="28"/>
        </w:rPr>
        <w:t>he training is</w:t>
      </w:r>
      <w:r w:rsidRPr="00C13AFC">
        <w:rPr>
          <w:sz w:val="28"/>
          <w:szCs w:val="28"/>
        </w:rPr>
        <w:t xml:space="preserve"> grant-funded), the shorter timeframes for program completion can lead to faster employability. </w:t>
      </w:r>
      <w:r>
        <w:rPr>
          <w:sz w:val="28"/>
          <w:szCs w:val="28"/>
        </w:rPr>
        <w:t xml:space="preserve"> </w:t>
      </w:r>
    </w:p>
    <w:p w14:paraId="4C10F120" w14:textId="77777777" w:rsidR="009B477D" w:rsidRDefault="009B477D" w:rsidP="009B477D">
      <w:pPr>
        <w:rPr>
          <w:sz w:val="28"/>
          <w:szCs w:val="28"/>
        </w:rPr>
      </w:pPr>
    </w:p>
    <w:p w14:paraId="40FF4785" w14:textId="77777777" w:rsidR="009B477D" w:rsidRDefault="009B477D" w:rsidP="009B477D">
      <w:pPr>
        <w:rPr>
          <w:sz w:val="28"/>
          <w:szCs w:val="28"/>
        </w:rPr>
      </w:pPr>
      <w:r w:rsidRPr="00C13AFC">
        <w:rPr>
          <w:sz w:val="28"/>
          <w:szCs w:val="28"/>
        </w:rPr>
        <w:t>There are also challenges</w:t>
      </w:r>
      <w:r>
        <w:rPr>
          <w:sz w:val="28"/>
          <w:szCs w:val="28"/>
        </w:rPr>
        <w:t>,</w:t>
      </w:r>
      <w:r w:rsidRPr="00C13AFC">
        <w:rPr>
          <w:sz w:val="28"/>
          <w:szCs w:val="28"/>
        </w:rPr>
        <w:t xml:space="preserve"> such as university registration systems </w:t>
      </w:r>
      <w:r>
        <w:rPr>
          <w:sz w:val="28"/>
          <w:szCs w:val="28"/>
        </w:rPr>
        <w:t>that</w:t>
      </w:r>
      <w:r w:rsidRPr="00C13AFC">
        <w:rPr>
          <w:sz w:val="28"/>
          <w:szCs w:val="28"/>
        </w:rPr>
        <w:t xml:space="preserve"> compromise </w:t>
      </w:r>
      <w:r>
        <w:rPr>
          <w:sz w:val="28"/>
          <w:szCs w:val="28"/>
        </w:rPr>
        <w:t xml:space="preserve">the extraction of data to track student progress, and </w:t>
      </w:r>
      <w:r w:rsidRPr="00C13AFC">
        <w:rPr>
          <w:sz w:val="28"/>
          <w:szCs w:val="28"/>
        </w:rPr>
        <w:t>the non-credit calendar</w:t>
      </w:r>
      <w:r>
        <w:rPr>
          <w:sz w:val="28"/>
          <w:szCs w:val="28"/>
        </w:rPr>
        <w:t>, which</w:t>
      </w:r>
      <w:r w:rsidRPr="00C13AFC">
        <w:rPr>
          <w:sz w:val="28"/>
          <w:szCs w:val="28"/>
        </w:rPr>
        <w:t xml:space="preserve"> is often not synchronized with the academic calendar. Negotiation with faculty and </w:t>
      </w:r>
      <w:r>
        <w:rPr>
          <w:sz w:val="28"/>
          <w:szCs w:val="28"/>
        </w:rPr>
        <w:t xml:space="preserve">department </w:t>
      </w:r>
      <w:r w:rsidRPr="00C13AFC">
        <w:rPr>
          <w:sz w:val="28"/>
          <w:szCs w:val="28"/>
        </w:rPr>
        <w:t>chairs must be done one at a time. It may be necessary to rewrite some training curricula in order to align with credit courses.</w:t>
      </w:r>
    </w:p>
    <w:p w14:paraId="1C678C90" w14:textId="77777777" w:rsidR="009B477D" w:rsidRPr="00C13AFC" w:rsidRDefault="009B477D" w:rsidP="009B477D">
      <w:pPr>
        <w:rPr>
          <w:sz w:val="28"/>
          <w:szCs w:val="28"/>
        </w:rPr>
      </w:pPr>
    </w:p>
    <w:p w14:paraId="4B884295" w14:textId="77777777" w:rsidR="009B477D" w:rsidRPr="00C13AFC" w:rsidRDefault="009B477D" w:rsidP="009B477D">
      <w:pPr>
        <w:rPr>
          <w:sz w:val="28"/>
          <w:szCs w:val="28"/>
        </w:rPr>
      </w:pPr>
    </w:p>
    <w:p w14:paraId="456F38E7" w14:textId="77777777" w:rsidR="009B477D" w:rsidRPr="00C13AFC" w:rsidRDefault="009B477D" w:rsidP="009B477D">
      <w:pPr>
        <w:rPr>
          <w:b/>
          <w:sz w:val="28"/>
          <w:szCs w:val="28"/>
        </w:rPr>
      </w:pPr>
      <w:r w:rsidRPr="00C13AFC">
        <w:rPr>
          <w:b/>
          <w:sz w:val="28"/>
          <w:szCs w:val="28"/>
        </w:rPr>
        <w:t>Lehman Forward (“90 by 30”)</w:t>
      </w:r>
      <w:r>
        <w:rPr>
          <w:b/>
          <w:sz w:val="28"/>
          <w:szCs w:val="28"/>
        </w:rPr>
        <w:t xml:space="preserve"> – A New Initiative</w:t>
      </w:r>
    </w:p>
    <w:p w14:paraId="56E6C989" w14:textId="77777777" w:rsidR="009B477D" w:rsidRDefault="009B477D" w:rsidP="009B477D"/>
    <w:p w14:paraId="6ECE81E1" w14:textId="77777777" w:rsidR="009B477D" w:rsidRDefault="009B477D" w:rsidP="009B477D">
      <w:pPr>
        <w:rPr>
          <w:sz w:val="28"/>
          <w:szCs w:val="28"/>
        </w:rPr>
      </w:pPr>
      <w:r w:rsidRPr="00C13AFC">
        <w:rPr>
          <w:sz w:val="28"/>
          <w:szCs w:val="28"/>
        </w:rPr>
        <w:t xml:space="preserve">The </w:t>
      </w:r>
      <w:r>
        <w:rPr>
          <w:sz w:val="28"/>
          <w:szCs w:val="28"/>
        </w:rPr>
        <w:t xml:space="preserve">then </w:t>
      </w:r>
      <w:r w:rsidRPr="00C13AFC">
        <w:rPr>
          <w:sz w:val="28"/>
          <w:szCs w:val="28"/>
        </w:rPr>
        <w:t xml:space="preserve">new </w:t>
      </w:r>
      <w:r>
        <w:rPr>
          <w:sz w:val="28"/>
          <w:szCs w:val="28"/>
        </w:rPr>
        <w:t>P</w:t>
      </w:r>
      <w:r w:rsidRPr="00C13AFC">
        <w:rPr>
          <w:sz w:val="28"/>
          <w:szCs w:val="28"/>
        </w:rPr>
        <w:t xml:space="preserve">resident of Lehman </w:t>
      </w:r>
      <w:r>
        <w:rPr>
          <w:sz w:val="28"/>
          <w:szCs w:val="28"/>
        </w:rPr>
        <w:t xml:space="preserve">College, Dr. Jose Luis Cruz, </w:t>
      </w:r>
      <w:r w:rsidRPr="00C13AFC">
        <w:rPr>
          <w:sz w:val="28"/>
          <w:szCs w:val="28"/>
        </w:rPr>
        <w:t xml:space="preserve">challenged the college community </w:t>
      </w:r>
      <w:r w:rsidRPr="002E0287">
        <w:rPr>
          <w:sz w:val="28"/>
          <w:szCs w:val="28"/>
        </w:rPr>
        <w:t xml:space="preserve">in his </w:t>
      </w:r>
      <w:r w:rsidRPr="002E0287">
        <w:rPr>
          <w:i/>
          <w:sz w:val="28"/>
          <w:szCs w:val="28"/>
        </w:rPr>
        <w:t>State of the College</w:t>
      </w:r>
      <w:r w:rsidRPr="002E0287">
        <w:rPr>
          <w:sz w:val="28"/>
          <w:szCs w:val="28"/>
        </w:rPr>
        <w:t xml:space="preserve"> address of March 2017</w:t>
      </w:r>
      <w:r>
        <w:rPr>
          <w:sz w:val="28"/>
          <w:szCs w:val="28"/>
        </w:rPr>
        <w:t>,</w:t>
      </w:r>
      <w:r w:rsidRPr="002E0287">
        <w:rPr>
          <w:sz w:val="28"/>
          <w:szCs w:val="28"/>
        </w:rPr>
        <w:t xml:space="preserve"> to</w:t>
      </w:r>
      <w:r w:rsidRPr="00C13AFC">
        <w:rPr>
          <w:sz w:val="28"/>
          <w:szCs w:val="28"/>
        </w:rPr>
        <w:t xml:space="preserve"> double the number of degrees and high quality credentials by 2030. </w:t>
      </w:r>
      <w:r>
        <w:rPr>
          <w:sz w:val="28"/>
          <w:szCs w:val="28"/>
        </w:rPr>
        <w:t>(</w:t>
      </w:r>
      <w:r w:rsidRPr="00C13AFC">
        <w:rPr>
          <w:sz w:val="28"/>
          <w:szCs w:val="28"/>
        </w:rPr>
        <w:t>If the college continued its current trajectory that nu</w:t>
      </w:r>
      <w:r>
        <w:rPr>
          <w:sz w:val="28"/>
          <w:szCs w:val="28"/>
        </w:rPr>
        <w:t>mber would be 45,000 by 2030 so</w:t>
      </w:r>
      <w:r w:rsidRPr="00C13AFC">
        <w:rPr>
          <w:sz w:val="28"/>
          <w:szCs w:val="28"/>
        </w:rPr>
        <w:t xml:space="preserve"> the challenge is to double that number to 90,000.</w:t>
      </w:r>
      <w:r>
        <w:rPr>
          <w:sz w:val="28"/>
          <w:szCs w:val="28"/>
        </w:rPr>
        <w:t xml:space="preserve">) </w:t>
      </w:r>
      <w:r w:rsidRPr="002E0287">
        <w:rPr>
          <w:sz w:val="28"/>
          <w:szCs w:val="28"/>
        </w:rPr>
        <w:t>President Cruz reminded the college</w:t>
      </w:r>
      <w:r>
        <w:rPr>
          <w:sz w:val="28"/>
          <w:szCs w:val="28"/>
        </w:rPr>
        <w:t xml:space="preserve"> faculty and </w:t>
      </w:r>
      <w:r>
        <w:rPr>
          <w:sz w:val="28"/>
          <w:szCs w:val="28"/>
        </w:rPr>
        <w:lastRenderedPageBreak/>
        <w:t xml:space="preserve">staff </w:t>
      </w:r>
      <w:r w:rsidRPr="002E0287">
        <w:rPr>
          <w:sz w:val="28"/>
          <w:szCs w:val="28"/>
        </w:rPr>
        <w:t xml:space="preserve">of </w:t>
      </w:r>
      <w:r>
        <w:rPr>
          <w:sz w:val="28"/>
          <w:szCs w:val="28"/>
        </w:rPr>
        <w:t>their</w:t>
      </w:r>
      <w:r w:rsidRPr="002E0287">
        <w:rPr>
          <w:sz w:val="28"/>
          <w:szCs w:val="28"/>
        </w:rPr>
        <w:t xml:space="preserve"> responsibility to provide opportunities for education, employment, and advancement that are grounded on principles of social equity. </w:t>
      </w:r>
      <w:r>
        <w:rPr>
          <w:sz w:val="28"/>
          <w:szCs w:val="28"/>
        </w:rPr>
        <w:t xml:space="preserve"> (Lehman is</w:t>
      </w:r>
      <w:r w:rsidRPr="002E0287">
        <w:rPr>
          <w:sz w:val="28"/>
          <w:szCs w:val="28"/>
        </w:rPr>
        <w:t xml:space="preserve"> the only 4-yea</w:t>
      </w:r>
      <w:r>
        <w:rPr>
          <w:sz w:val="28"/>
          <w:szCs w:val="28"/>
        </w:rPr>
        <w:t xml:space="preserve">r CUNY college in the Bronx, one of the most impoverished counties in the United States.) </w:t>
      </w:r>
      <w:r w:rsidRPr="000A4E1A">
        <w:rPr>
          <w:i/>
          <w:sz w:val="28"/>
          <w:szCs w:val="28"/>
        </w:rPr>
        <w:t>Lehman Forward</w:t>
      </w:r>
      <w:r>
        <w:rPr>
          <w:sz w:val="28"/>
          <w:szCs w:val="28"/>
        </w:rPr>
        <w:t xml:space="preserve"> </w:t>
      </w:r>
      <w:r w:rsidRPr="00C13AFC">
        <w:rPr>
          <w:sz w:val="28"/>
          <w:szCs w:val="28"/>
        </w:rPr>
        <w:t xml:space="preserve">is a call to urgent action based on local </w:t>
      </w:r>
      <w:r>
        <w:rPr>
          <w:sz w:val="28"/>
          <w:szCs w:val="28"/>
        </w:rPr>
        <w:t>condition</w:t>
      </w:r>
      <w:r w:rsidRPr="002E0287">
        <w:rPr>
          <w:sz w:val="28"/>
          <w:szCs w:val="28"/>
        </w:rPr>
        <w:t xml:space="preserve">s. </w:t>
      </w:r>
      <w:r w:rsidRPr="00C13AFC">
        <w:rPr>
          <w:sz w:val="28"/>
          <w:szCs w:val="28"/>
        </w:rPr>
        <w:t>The Bronx is the poorest borough of New York City</w:t>
      </w:r>
      <w:r w:rsidRPr="00965DEE">
        <w:rPr>
          <w:sz w:val="28"/>
          <w:szCs w:val="28"/>
        </w:rPr>
        <w:t xml:space="preserve">; </w:t>
      </w:r>
      <w:r w:rsidRPr="0015028B">
        <w:rPr>
          <w:sz w:val="28"/>
          <w:szCs w:val="28"/>
        </w:rPr>
        <w:t>it is consistently is rated number 62 of the 62 counties in NY State by the County health rankings.</w:t>
      </w:r>
      <w:r>
        <w:rPr>
          <w:sz w:val="21"/>
          <w:szCs w:val="21"/>
        </w:rPr>
        <w:t xml:space="preserve"> </w:t>
      </w:r>
      <w:r w:rsidRPr="00C13AFC">
        <w:rPr>
          <w:sz w:val="28"/>
          <w:szCs w:val="28"/>
        </w:rPr>
        <w:t xml:space="preserve"> </w:t>
      </w:r>
      <w:r>
        <w:rPr>
          <w:sz w:val="28"/>
          <w:szCs w:val="28"/>
        </w:rPr>
        <w:t xml:space="preserve">Only </w:t>
      </w:r>
      <w:r w:rsidRPr="00C13AFC">
        <w:rPr>
          <w:sz w:val="28"/>
          <w:szCs w:val="28"/>
        </w:rPr>
        <w:t>28% of the population have associates degrees or more</w:t>
      </w:r>
      <w:r>
        <w:rPr>
          <w:sz w:val="28"/>
          <w:szCs w:val="28"/>
        </w:rPr>
        <w:t>;</w:t>
      </w:r>
      <w:r w:rsidRPr="00C13AFC">
        <w:rPr>
          <w:sz w:val="28"/>
          <w:szCs w:val="28"/>
        </w:rPr>
        <w:t xml:space="preserve"> 452,000 of people aged 25+ have </w:t>
      </w:r>
      <w:r>
        <w:rPr>
          <w:sz w:val="28"/>
          <w:szCs w:val="28"/>
        </w:rPr>
        <w:t xml:space="preserve">only </w:t>
      </w:r>
      <w:r w:rsidRPr="00C13AFC">
        <w:rPr>
          <w:sz w:val="28"/>
          <w:szCs w:val="28"/>
        </w:rPr>
        <w:t xml:space="preserve">a </w:t>
      </w:r>
      <w:r>
        <w:rPr>
          <w:sz w:val="28"/>
          <w:szCs w:val="28"/>
        </w:rPr>
        <w:t>h</w:t>
      </w:r>
      <w:r w:rsidRPr="00C13AFC">
        <w:rPr>
          <w:sz w:val="28"/>
          <w:szCs w:val="28"/>
        </w:rPr>
        <w:t xml:space="preserve">igh school diploma or its equivalent, or some college and the largest </w:t>
      </w:r>
      <w:r>
        <w:rPr>
          <w:sz w:val="28"/>
          <w:szCs w:val="28"/>
        </w:rPr>
        <w:t>group living</w:t>
      </w:r>
      <w:r w:rsidRPr="00C13AFC">
        <w:rPr>
          <w:sz w:val="28"/>
          <w:szCs w:val="28"/>
        </w:rPr>
        <w:t xml:space="preserve"> in poverty is </w:t>
      </w:r>
      <w:r>
        <w:rPr>
          <w:sz w:val="28"/>
          <w:szCs w:val="28"/>
        </w:rPr>
        <w:t xml:space="preserve">that of </w:t>
      </w:r>
      <w:r w:rsidRPr="00C13AFC">
        <w:rPr>
          <w:sz w:val="28"/>
          <w:szCs w:val="28"/>
        </w:rPr>
        <w:t xml:space="preserve">women aged 25-34. This is the first time in CUNY that </w:t>
      </w:r>
      <w:r>
        <w:rPr>
          <w:sz w:val="28"/>
          <w:szCs w:val="28"/>
        </w:rPr>
        <w:t xml:space="preserve">high quality </w:t>
      </w:r>
      <w:r w:rsidRPr="00C13AFC">
        <w:rPr>
          <w:sz w:val="28"/>
          <w:szCs w:val="28"/>
        </w:rPr>
        <w:t>certific</w:t>
      </w:r>
      <w:r>
        <w:rPr>
          <w:sz w:val="28"/>
          <w:szCs w:val="28"/>
        </w:rPr>
        <w:t>ates (defined as industry-recognized credentials validated by an external agency or institution, which lead</w:t>
      </w:r>
      <w:r w:rsidRPr="00C13AFC">
        <w:rPr>
          <w:sz w:val="28"/>
          <w:szCs w:val="28"/>
        </w:rPr>
        <w:t xml:space="preserve"> to </w:t>
      </w:r>
      <w:r>
        <w:rPr>
          <w:sz w:val="28"/>
          <w:szCs w:val="28"/>
        </w:rPr>
        <w:t>a job or a better job)</w:t>
      </w:r>
      <w:r w:rsidRPr="00C13AFC">
        <w:rPr>
          <w:sz w:val="28"/>
          <w:szCs w:val="28"/>
        </w:rPr>
        <w:t xml:space="preserve"> have been included in this kind of college goal and it will unquestionably </w:t>
      </w:r>
      <w:r>
        <w:rPr>
          <w:sz w:val="28"/>
          <w:szCs w:val="28"/>
        </w:rPr>
        <w:t>affe</w:t>
      </w:r>
      <w:r w:rsidRPr="00C13AFC">
        <w:rPr>
          <w:sz w:val="28"/>
          <w:szCs w:val="28"/>
        </w:rPr>
        <w:t>ct the way that non-credit certificates and badges are perc</w:t>
      </w:r>
      <w:r>
        <w:rPr>
          <w:sz w:val="28"/>
          <w:szCs w:val="28"/>
        </w:rPr>
        <w:t>eived and recognized. It is expected that including non-credit credentials will</w:t>
      </w:r>
      <w:r w:rsidRPr="00C13AFC">
        <w:rPr>
          <w:sz w:val="28"/>
          <w:szCs w:val="28"/>
        </w:rPr>
        <w:t xml:space="preserve"> also increase retention</w:t>
      </w:r>
      <w:r>
        <w:rPr>
          <w:sz w:val="28"/>
          <w:szCs w:val="28"/>
        </w:rPr>
        <w:t>,</w:t>
      </w:r>
      <w:r w:rsidRPr="00C13AFC">
        <w:rPr>
          <w:sz w:val="28"/>
          <w:szCs w:val="28"/>
        </w:rPr>
        <w:t xml:space="preserve"> persistence</w:t>
      </w:r>
      <w:r>
        <w:rPr>
          <w:sz w:val="28"/>
          <w:szCs w:val="28"/>
        </w:rPr>
        <w:t>, employability and, ultimately,</w:t>
      </w:r>
      <w:r w:rsidRPr="00645A87">
        <w:rPr>
          <w:sz w:val="28"/>
          <w:szCs w:val="28"/>
        </w:rPr>
        <w:t xml:space="preserve"> </w:t>
      </w:r>
      <w:r w:rsidRPr="00C13AFC">
        <w:rPr>
          <w:sz w:val="28"/>
          <w:szCs w:val="28"/>
        </w:rPr>
        <w:t xml:space="preserve">the </w:t>
      </w:r>
      <w:r>
        <w:rPr>
          <w:sz w:val="28"/>
          <w:szCs w:val="28"/>
        </w:rPr>
        <w:t xml:space="preserve">college’s </w:t>
      </w:r>
      <w:r w:rsidRPr="00C13AFC">
        <w:rPr>
          <w:sz w:val="28"/>
          <w:szCs w:val="28"/>
        </w:rPr>
        <w:t xml:space="preserve">graduation rate. </w:t>
      </w:r>
    </w:p>
    <w:p w14:paraId="03599146" w14:textId="77777777" w:rsidR="009B477D" w:rsidRDefault="009B477D" w:rsidP="009B477D">
      <w:pPr>
        <w:rPr>
          <w:sz w:val="28"/>
          <w:szCs w:val="28"/>
        </w:rPr>
      </w:pPr>
    </w:p>
    <w:p w14:paraId="1E26D9B6" w14:textId="77777777" w:rsidR="009B477D" w:rsidRPr="00C13AFC" w:rsidRDefault="009B477D" w:rsidP="009B477D">
      <w:pPr>
        <w:rPr>
          <w:sz w:val="28"/>
          <w:szCs w:val="28"/>
        </w:rPr>
      </w:pPr>
      <w:r w:rsidRPr="00C13AFC">
        <w:rPr>
          <w:sz w:val="28"/>
          <w:szCs w:val="28"/>
        </w:rPr>
        <w:t>There is the potential for certificates to become part of the curriculum for many different subject areas (e</w:t>
      </w:r>
      <w:r>
        <w:rPr>
          <w:sz w:val="28"/>
          <w:szCs w:val="28"/>
        </w:rPr>
        <w:t>.</w:t>
      </w:r>
      <w:r w:rsidRPr="00C13AFC">
        <w:rPr>
          <w:sz w:val="28"/>
          <w:szCs w:val="28"/>
        </w:rPr>
        <w:t>g</w:t>
      </w:r>
      <w:r>
        <w:rPr>
          <w:sz w:val="28"/>
          <w:szCs w:val="28"/>
        </w:rPr>
        <w:t>.</w:t>
      </w:r>
      <w:r w:rsidRPr="00C13AFC">
        <w:rPr>
          <w:sz w:val="28"/>
          <w:szCs w:val="28"/>
        </w:rPr>
        <w:t xml:space="preserve">, </w:t>
      </w:r>
      <w:r>
        <w:rPr>
          <w:sz w:val="28"/>
          <w:szCs w:val="28"/>
        </w:rPr>
        <w:t xml:space="preserve">the NYS </w:t>
      </w:r>
      <w:r w:rsidRPr="00C13AFC">
        <w:rPr>
          <w:sz w:val="28"/>
          <w:szCs w:val="28"/>
        </w:rPr>
        <w:t xml:space="preserve">financial planning certificate for </w:t>
      </w:r>
      <w:r>
        <w:rPr>
          <w:sz w:val="28"/>
          <w:szCs w:val="28"/>
        </w:rPr>
        <w:t>B</w:t>
      </w:r>
      <w:r w:rsidRPr="00C13AFC">
        <w:rPr>
          <w:sz w:val="28"/>
          <w:szCs w:val="28"/>
        </w:rPr>
        <w:t xml:space="preserve">usiness majors, </w:t>
      </w:r>
      <w:r>
        <w:rPr>
          <w:sz w:val="28"/>
          <w:szCs w:val="28"/>
        </w:rPr>
        <w:t xml:space="preserve">Cisco networking certification for Computer Science majors, CASAC for Social Science majors, </w:t>
      </w:r>
      <w:r w:rsidRPr="00C13AFC">
        <w:rPr>
          <w:sz w:val="28"/>
          <w:szCs w:val="28"/>
        </w:rPr>
        <w:t>etc.)</w:t>
      </w:r>
      <w:r>
        <w:rPr>
          <w:sz w:val="28"/>
          <w:szCs w:val="28"/>
        </w:rPr>
        <w:t>. But implementing a change o</w:t>
      </w:r>
      <w:r w:rsidR="00464265">
        <w:rPr>
          <w:sz w:val="28"/>
          <w:szCs w:val="28"/>
        </w:rPr>
        <w:t>f this magnitude raises many questions</w:t>
      </w:r>
      <w:r>
        <w:rPr>
          <w:sz w:val="28"/>
          <w:szCs w:val="28"/>
        </w:rPr>
        <w:t xml:space="preserve">. For example, </w:t>
      </w:r>
      <w:r w:rsidRPr="00C13AFC">
        <w:rPr>
          <w:sz w:val="28"/>
          <w:szCs w:val="28"/>
        </w:rPr>
        <w:t xml:space="preserve">how will certification courses be paid for? How much credit will departments permit? </w:t>
      </w:r>
      <w:r>
        <w:rPr>
          <w:sz w:val="28"/>
          <w:szCs w:val="28"/>
        </w:rPr>
        <w:t>Will credits for certificates be general? Can they count towards the major or are they electives? Will they continue to be decided by departmental curriculum committees, the college’s curriculum committee and ultimately the university or can they be agreed through memoranda</w:t>
      </w:r>
      <w:r w:rsidR="00464265">
        <w:rPr>
          <w:sz w:val="28"/>
          <w:szCs w:val="28"/>
        </w:rPr>
        <w:t xml:space="preserve"> of understanding as at the two-</w:t>
      </w:r>
      <w:r>
        <w:rPr>
          <w:sz w:val="28"/>
          <w:szCs w:val="28"/>
        </w:rPr>
        <w:t>year colleges? This has yet to be decided but nonetheless, including non-credit credentials is an integral part of President Cruz’s vision.</w:t>
      </w:r>
    </w:p>
    <w:p w14:paraId="537AE632" w14:textId="77777777" w:rsidR="009B477D" w:rsidRDefault="009B477D" w:rsidP="009B477D">
      <w:pPr>
        <w:rPr>
          <w:sz w:val="28"/>
          <w:szCs w:val="28"/>
        </w:rPr>
      </w:pPr>
    </w:p>
    <w:p w14:paraId="2CDDE628" w14:textId="77777777" w:rsidR="009B477D" w:rsidRPr="00C13AFC" w:rsidRDefault="009B477D" w:rsidP="009B477D">
      <w:pPr>
        <w:rPr>
          <w:sz w:val="28"/>
          <w:szCs w:val="28"/>
        </w:rPr>
      </w:pPr>
      <w:r w:rsidRPr="00C13AFC">
        <w:rPr>
          <w:sz w:val="28"/>
          <w:szCs w:val="28"/>
        </w:rPr>
        <w:t xml:space="preserve">So far we have mostly discussed how non-credit certificates can become eligible for credit but there are also situations where credit students want to receive certification </w:t>
      </w:r>
      <w:r>
        <w:rPr>
          <w:sz w:val="28"/>
          <w:szCs w:val="28"/>
        </w:rPr>
        <w:t>t</w:t>
      </w:r>
      <w:r w:rsidRPr="00C13AFC">
        <w:rPr>
          <w:sz w:val="28"/>
          <w:szCs w:val="28"/>
        </w:rPr>
        <w:t>h</w:t>
      </w:r>
      <w:r>
        <w:rPr>
          <w:sz w:val="28"/>
          <w:szCs w:val="28"/>
        </w:rPr>
        <w:t>at</w:t>
      </w:r>
      <w:r w:rsidRPr="00C13AFC">
        <w:rPr>
          <w:sz w:val="28"/>
          <w:szCs w:val="28"/>
        </w:rPr>
        <w:t xml:space="preserve"> will enhance their employability</w:t>
      </w:r>
      <w:r>
        <w:rPr>
          <w:sz w:val="28"/>
          <w:szCs w:val="28"/>
        </w:rPr>
        <w:t xml:space="preserve">. One example of this is </w:t>
      </w:r>
      <w:r w:rsidRPr="00C13AFC">
        <w:rPr>
          <w:sz w:val="28"/>
          <w:szCs w:val="28"/>
        </w:rPr>
        <w:t>the CISCO Networking certification</w:t>
      </w:r>
      <w:r>
        <w:rPr>
          <w:sz w:val="28"/>
          <w:szCs w:val="28"/>
        </w:rPr>
        <w:t>,</w:t>
      </w:r>
      <w:r w:rsidRPr="00C13AFC">
        <w:rPr>
          <w:sz w:val="28"/>
          <w:szCs w:val="28"/>
        </w:rPr>
        <w:t xml:space="preserve"> which is popular wit</w:t>
      </w:r>
      <w:r>
        <w:rPr>
          <w:sz w:val="28"/>
          <w:szCs w:val="28"/>
        </w:rPr>
        <w:t xml:space="preserve">h </w:t>
      </w:r>
      <w:r w:rsidRPr="00C13AFC">
        <w:rPr>
          <w:sz w:val="28"/>
          <w:szCs w:val="28"/>
        </w:rPr>
        <w:t xml:space="preserve">Computer Science majors at Lehman College and which is not currently eligible for credit. </w:t>
      </w:r>
    </w:p>
    <w:p w14:paraId="57D345C6" w14:textId="77777777" w:rsidR="009B477D" w:rsidRPr="00C13AFC" w:rsidRDefault="009B477D" w:rsidP="009B477D">
      <w:pPr>
        <w:rPr>
          <w:sz w:val="28"/>
          <w:szCs w:val="28"/>
        </w:rPr>
      </w:pPr>
    </w:p>
    <w:p w14:paraId="5F28B470" w14:textId="77777777" w:rsidR="00464265" w:rsidRDefault="00464265" w:rsidP="009B477D">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p>
    <w:p w14:paraId="379F2207" w14:textId="77777777" w:rsidR="00464265" w:rsidRDefault="00464265" w:rsidP="009B477D">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p>
    <w:p w14:paraId="6EE92B40" w14:textId="77777777" w:rsidR="009B477D" w:rsidRPr="00361357" w:rsidRDefault="009B477D" w:rsidP="009B477D">
      <w:pPr>
        <w:pStyle w:val="NormalWeb"/>
        <w:spacing w:before="0" w:beforeAutospacing="0" w:after="0" w:afterAutospacing="0"/>
        <w:rPr>
          <w:rFonts w:asciiTheme="minorHAnsi" w:eastAsiaTheme="minorEastAsia" w:hAnsiTheme="minorHAnsi" w:cstheme="minorBidi"/>
          <w:b/>
          <w:color w:val="000000" w:themeColor="text1"/>
          <w:kern w:val="24"/>
          <w:sz w:val="28"/>
          <w:szCs w:val="28"/>
        </w:rPr>
      </w:pPr>
      <w:r w:rsidRPr="00361357">
        <w:rPr>
          <w:rFonts w:asciiTheme="minorHAnsi" w:eastAsiaTheme="minorEastAsia" w:hAnsiTheme="minorHAnsi" w:cstheme="minorBidi"/>
          <w:b/>
          <w:color w:val="000000" w:themeColor="text1"/>
          <w:kern w:val="24"/>
          <w:sz w:val="28"/>
          <w:szCs w:val="28"/>
        </w:rPr>
        <w:t xml:space="preserve">Non-credit to credit – </w:t>
      </w:r>
      <w:r>
        <w:rPr>
          <w:rFonts w:asciiTheme="minorHAnsi" w:eastAsiaTheme="minorEastAsia" w:hAnsiTheme="minorHAnsi" w:cstheme="minorBidi"/>
          <w:b/>
          <w:color w:val="000000" w:themeColor="text1"/>
          <w:kern w:val="24"/>
          <w:sz w:val="28"/>
          <w:szCs w:val="28"/>
        </w:rPr>
        <w:t>The Impact</w:t>
      </w:r>
    </w:p>
    <w:p w14:paraId="022D25BF"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190DCEA8" w14:textId="19F8406A"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C13AFC">
        <w:rPr>
          <w:rFonts w:asciiTheme="minorHAnsi" w:eastAsiaTheme="minorEastAsia" w:hAnsiTheme="minorHAnsi" w:cstheme="minorBidi"/>
          <w:color w:val="000000" w:themeColor="text1"/>
          <w:kern w:val="24"/>
          <w:sz w:val="28"/>
          <w:szCs w:val="28"/>
        </w:rPr>
        <w:t>According to the Lumina Foundation, 27 million Americans have some postsecondary education but lack a high-quality credential (degree or postsecondary certificate)</w:t>
      </w:r>
      <w:r>
        <w:rPr>
          <w:rFonts w:asciiTheme="minorHAnsi" w:eastAsiaTheme="minorEastAsia" w:hAnsiTheme="minorHAnsi" w:cstheme="minorBidi"/>
          <w:color w:val="000000" w:themeColor="text1"/>
          <w:kern w:val="24"/>
          <w:sz w:val="28"/>
          <w:szCs w:val="28"/>
        </w:rPr>
        <w:t>.</w:t>
      </w:r>
      <w:r w:rsidRPr="00C13AFC">
        <w:rPr>
          <w:rFonts w:asciiTheme="minorHAnsi" w:eastAsiaTheme="minorEastAsia" w:hAnsiTheme="minorHAnsi" w:cstheme="minorBidi"/>
          <w:color w:val="000000" w:themeColor="text1"/>
          <w:kern w:val="24"/>
          <w:sz w:val="28"/>
          <w:szCs w:val="28"/>
        </w:rPr>
        <w:t xml:space="preserve"> </w:t>
      </w:r>
      <w:r>
        <w:rPr>
          <w:rFonts w:asciiTheme="minorHAnsi" w:eastAsiaTheme="minorEastAsia" w:hAnsiTheme="minorHAnsi" w:cstheme="minorBidi"/>
          <w:color w:val="000000" w:themeColor="text1"/>
          <w:kern w:val="24"/>
          <w:sz w:val="28"/>
          <w:szCs w:val="28"/>
        </w:rPr>
        <w:t xml:space="preserve">A further </w:t>
      </w:r>
      <w:r w:rsidRPr="00C13AFC">
        <w:rPr>
          <w:rFonts w:asciiTheme="minorHAnsi" w:eastAsiaTheme="minorEastAsia" w:hAnsiTheme="minorHAnsi" w:cstheme="minorBidi"/>
          <w:color w:val="000000" w:themeColor="text1"/>
          <w:kern w:val="24"/>
          <w:sz w:val="28"/>
          <w:szCs w:val="28"/>
        </w:rPr>
        <w:t xml:space="preserve">63.8 million Americans between the ages of 25 and 64 have no recognized postsecondary education and therefore little chance to obtain high quality credentials that lead to employment. </w:t>
      </w:r>
      <w:r>
        <w:rPr>
          <w:rFonts w:asciiTheme="minorHAnsi" w:eastAsiaTheme="minorEastAsia" w:hAnsiTheme="minorHAnsi" w:cstheme="minorBidi"/>
          <w:color w:val="000000" w:themeColor="text1"/>
          <w:kern w:val="24"/>
          <w:sz w:val="28"/>
          <w:szCs w:val="28"/>
        </w:rPr>
        <w:t>Giving credit for prior learning, noncredit certificates or other micro-credentials will allow those Americans to accelerate degree completion and move up the career ladder or be qualified for their chosen profession</w:t>
      </w:r>
      <w:r w:rsidR="004C5FA8">
        <w:rPr>
          <w:rFonts w:asciiTheme="minorHAnsi" w:eastAsiaTheme="minorEastAsia" w:hAnsiTheme="minorHAnsi" w:cstheme="minorBidi"/>
          <w:color w:val="000000" w:themeColor="text1"/>
          <w:kern w:val="24"/>
          <w:sz w:val="28"/>
          <w:szCs w:val="28"/>
        </w:rPr>
        <w:t>.</w:t>
      </w:r>
      <w:r>
        <w:rPr>
          <w:rFonts w:asciiTheme="minorHAnsi" w:eastAsiaTheme="minorEastAsia" w:hAnsiTheme="minorHAnsi" w:cstheme="minorBidi"/>
          <w:color w:val="000000" w:themeColor="text1"/>
          <w:kern w:val="24"/>
          <w:sz w:val="28"/>
          <w:szCs w:val="28"/>
        </w:rPr>
        <w:t xml:space="preserve"> </w:t>
      </w:r>
      <w:r w:rsidRPr="00C13AFC">
        <w:rPr>
          <w:rFonts w:asciiTheme="minorHAnsi" w:eastAsiaTheme="minorEastAsia" w:hAnsiTheme="minorHAnsi" w:cstheme="minorBidi"/>
          <w:color w:val="000000" w:themeColor="text1"/>
          <w:kern w:val="24"/>
          <w:sz w:val="28"/>
          <w:szCs w:val="28"/>
        </w:rPr>
        <w:t>Colleges can serve most of these people with training</w:t>
      </w:r>
      <w:r>
        <w:rPr>
          <w:rFonts w:asciiTheme="minorHAnsi" w:eastAsiaTheme="minorEastAsia" w:hAnsiTheme="minorHAnsi" w:cstheme="minorBidi"/>
          <w:color w:val="000000" w:themeColor="text1"/>
          <w:kern w:val="24"/>
          <w:sz w:val="28"/>
          <w:szCs w:val="28"/>
        </w:rPr>
        <w:t>,</w:t>
      </w:r>
      <w:r w:rsidRPr="00C13AFC">
        <w:rPr>
          <w:rFonts w:asciiTheme="minorHAnsi" w:eastAsiaTheme="minorEastAsia" w:hAnsiTheme="minorHAnsi" w:cstheme="minorBidi"/>
          <w:color w:val="000000" w:themeColor="text1"/>
          <w:kern w:val="24"/>
          <w:sz w:val="28"/>
          <w:szCs w:val="28"/>
        </w:rPr>
        <w:t xml:space="preserve"> leading </w:t>
      </w:r>
      <w:r w:rsidRPr="00C13AFC">
        <w:rPr>
          <w:rFonts w:asciiTheme="minorHAnsi" w:eastAsiaTheme="minorEastAsia" w:hAnsiTheme="minorHAnsi" w:cstheme="minorBidi"/>
          <w:bCs/>
          <w:iCs/>
          <w:color w:val="000000" w:themeColor="text1"/>
          <w:kern w:val="24"/>
          <w:sz w:val="28"/>
          <w:szCs w:val="28"/>
        </w:rPr>
        <w:t>initially</w:t>
      </w:r>
      <w:r w:rsidRPr="00C13AFC">
        <w:rPr>
          <w:rFonts w:asciiTheme="minorHAnsi" w:eastAsiaTheme="minorEastAsia" w:hAnsiTheme="minorHAnsi" w:cstheme="minorBidi"/>
          <w:color w:val="000000" w:themeColor="text1"/>
          <w:kern w:val="24"/>
          <w:sz w:val="28"/>
          <w:szCs w:val="28"/>
        </w:rPr>
        <w:t xml:space="preserve"> to postsecondary certificates and ind</w:t>
      </w:r>
      <w:r>
        <w:rPr>
          <w:rFonts w:asciiTheme="minorHAnsi" w:eastAsiaTheme="minorEastAsia" w:hAnsiTheme="minorHAnsi" w:cstheme="minorBidi"/>
          <w:color w:val="000000" w:themeColor="text1"/>
          <w:kern w:val="24"/>
          <w:sz w:val="28"/>
          <w:szCs w:val="28"/>
        </w:rPr>
        <w:t>ustry-recognized certifications, which are</w:t>
      </w:r>
      <w:r w:rsidRPr="00C13AFC">
        <w:rPr>
          <w:rFonts w:asciiTheme="minorHAnsi" w:eastAsiaTheme="minorEastAsia" w:hAnsiTheme="minorHAnsi" w:cstheme="minorBidi"/>
          <w:color w:val="000000" w:themeColor="text1"/>
          <w:kern w:val="24"/>
          <w:sz w:val="28"/>
          <w:szCs w:val="28"/>
        </w:rPr>
        <w:t xml:space="preserve"> pathways to </w:t>
      </w:r>
      <w:r>
        <w:rPr>
          <w:rFonts w:asciiTheme="minorHAnsi" w:eastAsiaTheme="minorEastAsia" w:hAnsiTheme="minorHAnsi" w:cstheme="minorBidi"/>
          <w:color w:val="000000" w:themeColor="text1"/>
          <w:kern w:val="24"/>
          <w:sz w:val="28"/>
          <w:szCs w:val="28"/>
        </w:rPr>
        <w:t>good jobs and further education:</w:t>
      </w:r>
      <w:r w:rsidRPr="00C13AFC">
        <w:rPr>
          <w:rFonts w:asciiTheme="minorHAnsi" w:eastAsiaTheme="minorEastAsia" w:hAnsiTheme="minorHAnsi" w:cstheme="minorBidi"/>
          <w:color w:val="000000" w:themeColor="text1"/>
          <w:kern w:val="24"/>
          <w:sz w:val="28"/>
          <w:szCs w:val="28"/>
        </w:rPr>
        <w:t xml:space="preserve"> the first step on the ladder to better lives. </w:t>
      </w:r>
    </w:p>
    <w:p w14:paraId="41BDB456"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25BC25A7"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These pathways are important because they connect just-in-time training and industry skill sets with traditional higher education; they acknowledge learning acquired through non-traditional means and indicate that the student can successfully complete college-level work; they recognize college-level learning outcomes and most importantly, decrease time to graduation. In terms of enrollment from a college perspective, they assist advisors and recruiters in attracting students, save students money, promote the “One College” concept and can lead to new funding opportunities.</w:t>
      </w:r>
    </w:p>
    <w:p w14:paraId="3DFD4C6A"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396942B1"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Pr>
          <w:rFonts w:asciiTheme="minorHAnsi" w:eastAsiaTheme="minorEastAsia" w:hAnsiTheme="minorHAnsi" w:cstheme="minorBidi"/>
          <w:color w:val="000000" w:themeColor="text1"/>
          <w:kern w:val="24"/>
          <w:sz w:val="28"/>
          <w:szCs w:val="28"/>
        </w:rPr>
        <w:t xml:space="preserve">From a student perspective, the benefits in regards to retention and degree completion are conclusive. </w:t>
      </w:r>
      <w:r w:rsidRPr="00C13AFC">
        <w:rPr>
          <w:rFonts w:asciiTheme="minorHAnsi" w:eastAsiaTheme="minorEastAsia" w:hAnsiTheme="minorHAnsi" w:cstheme="minorBidi"/>
          <w:color w:val="000000" w:themeColor="text1"/>
          <w:kern w:val="24"/>
          <w:sz w:val="28"/>
          <w:szCs w:val="28"/>
        </w:rPr>
        <w:t>A 2010 CAEL study found</w:t>
      </w:r>
      <w:r>
        <w:rPr>
          <w:rFonts w:asciiTheme="minorHAnsi" w:eastAsiaTheme="minorEastAsia" w:hAnsiTheme="minorHAnsi" w:cstheme="minorBidi"/>
          <w:color w:val="000000" w:themeColor="text1"/>
          <w:kern w:val="24"/>
          <w:sz w:val="28"/>
          <w:szCs w:val="28"/>
        </w:rPr>
        <w:t xml:space="preserve"> that</w:t>
      </w:r>
      <w:r w:rsidRPr="00C13AFC">
        <w:rPr>
          <w:rFonts w:asciiTheme="minorHAnsi" w:eastAsiaTheme="minorEastAsia" w:hAnsiTheme="minorHAnsi" w:cstheme="minorBidi"/>
          <w:color w:val="000000" w:themeColor="text1"/>
          <w:kern w:val="24"/>
          <w:sz w:val="28"/>
          <w:szCs w:val="28"/>
        </w:rPr>
        <w:t xml:space="preserve"> of more than 60,000 students at 48 institutions, 56% of students with PLA credit earned a post-secondary degree within 7 years, while only 21% of non-PLA students did so at the associate degree level. This trend holds true across institutional size, level and control, regardless of student demographic characteristics or socio-economic status. The same study found that even among students </w:t>
      </w:r>
      <w:r>
        <w:rPr>
          <w:rFonts w:asciiTheme="minorHAnsi" w:eastAsiaTheme="minorEastAsia" w:hAnsiTheme="minorHAnsi" w:cstheme="minorBidi"/>
          <w:color w:val="000000" w:themeColor="text1"/>
          <w:kern w:val="24"/>
          <w:sz w:val="28"/>
          <w:szCs w:val="28"/>
        </w:rPr>
        <w:t>who</w:t>
      </w:r>
      <w:r w:rsidRPr="00C13AFC">
        <w:rPr>
          <w:rFonts w:asciiTheme="minorHAnsi" w:eastAsiaTheme="minorEastAsia" w:hAnsiTheme="minorHAnsi" w:cstheme="minorBidi"/>
          <w:color w:val="000000" w:themeColor="text1"/>
          <w:kern w:val="24"/>
          <w:sz w:val="28"/>
          <w:szCs w:val="28"/>
        </w:rPr>
        <w:t xml:space="preserve"> did not earn a degree during the 7 year period, over half of the non-graduating PLA students had 80% or more of the credits needed to graduate while only 22% of the non-PLA students had made similar progress.</w:t>
      </w:r>
      <w:r w:rsidRPr="00C13AFC">
        <w:rPr>
          <w:rFonts w:asciiTheme="minorHAnsi" w:hAnsiTheme="minorHAnsi"/>
          <w:sz w:val="28"/>
          <w:szCs w:val="28"/>
        </w:rPr>
        <w:t xml:space="preserve"> </w:t>
      </w:r>
      <w:r w:rsidRPr="00C13AFC">
        <w:rPr>
          <w:rFonts w:asciiTheme="minorHAnsi" w:eastAsiaTheme="minorEastAsia" w:hAnsiTheme="minorHAnsi" w:cstheme="minorBidi"/>
          <w:color w:val="000000" w:themeColor="text1"/>
          <w:kern w:val="24"/>
          <w:sz w:val="28"/>
          <w:szCs w:val="28"/>
        </w:rPr>
        <w:t xml:space="preserve">Other studies have similar findings: </w:t>
      </w:r>
      <w:r w:rsidRPr="00C13AFC">
        <w:rPr>
          <w:rFonts w:asciiTheme="minorHAnsi" w:eastAsiaTheme="minorEastAsia" w:hAnsiTheme="minorHAnsi" w:cstheme="minorBidi"/>
          <w:color w:val="000000" w:themeColor="text1"/>
          <w:kern w:val="24"/>
          <w:sz w:val="28"/>
          <w:szCs w:val="28"/>
        </w:rPr>
        <w:lastRenderedPageBreak/>
        <w:t xml:space="preserve">Hayward &amp; Williams in 2015 found the degree completion rates for </w:t>
      </w:r>
      <w:r>
        <w:rPr>
          <w:rFonts w:asciiTheme="minorHAnsi" w:eastAsiaTheme="minorEastAsia" w:hAnsiTheme="minorHAnsi" w:cstheme="minorBidi"/>
          <w:color w:val="000000" w:themeColor="text1"/>
          <w:kern w:val="24"/>
          <w:sz w:val="28"/>
          <w:szCs w:val="28"/>
        </w:rPr>
        <w:t xml:space="preserve">PLA </w:t>
      </w:r>
      <w:r w:rsidRPr="00C13AFC">
        <w:rPr>
          <w:rFonts w:asciiTheme="minorHAnsi" w:eastAsiaTheme="minorEastAsia" w:hAnsiTheme="minorHAnsi" w:cstheme="minorBidi"/>
          <w:color w:val="000000" w:themeColor="text1"/>
          <w:kern w:val="24"/>
          <w:sz w:val="28"/>
          <w:szCs w:val="28"/>
        </w:rPr>
        <w:t>students were 28% compared to 12%</w:t>
      </w:r>
      <w:r>
        <w:rPr>
          <w:rFonts w:asciiTheme="minorHAnsi" w:eastAsiaTheme="minorEastAsia" w:hAnsiTheme="minorHAnsi" w:cstheme="minorBidi"/>
          <w:color w:val="000000" w:themeColor="text1"/>
          <w:kern w:val="24"/>
          <w:sz w:val="28"/>
          <w:szCs w:val="28"/>
        </w:rPr>
        <w:t xml:space="preserve"> for non-PLA students</w:t>
      </w:r>
      <w:r w:rsidRPr="00C13AFC">
        <w:rPr>
          <w:rFonts w:asciiTheme="minorHAnsi" w:eastAsiaTheme="minorEastAsia" w:hAnsiTheme="minorHAnsi" w:cstheme="minorBidi"/>
          <w:color w:val="000000" w:themeColor="text1"/>
          <w:kern w:val="24"/>
          <w:sz w:val="28"/>
          <w:szCs w:val="28"/>
        </w:rPr>
        <w:t>. And the Tennessee Board of Regents and</w:t>
      </w:r>
      <w:r>
        <w:rPr>
          <w:rFonts w:asciiTheme="minorHAnsi" w:eastAsiaTheme="minorEastAsia" w:hAnsiTheme="minorHAnsi" w:cstheme="minorBidi"/>
          <w:color w:val="000000" w:themeColor="text1"/>
          <w:kern w:val="24"/>
          <w:sz w:val="28"/>
          <w:szCs w:val="28"/>
        </w:rPr>
        <w:t xml:space="preserve"> the</w:t>
      </w:r>
      <w:r w:rsidRPr="00C13AFC">
        <w:rPr>
          <w:rFonts w:asciiTheme="minorHAnsi" w:eastAsiaTheme="minorEastAsia" w:hAnsiTheme="minorHAnsi" w:cstheme="minorBidi"/>
          <w:color w:val="000000" w:themeColor="text1"/>
          <w:kern w:val="24"/>
          <w:sz w:val="28"/>
          <w:szCs w:val="28"/>
        </w:rPr>
        <w:t xml:space="preserve"> Tennessee Higher Education Commission found that students with </w:t>
      </w:r>
      <w:r w:rsidRPr="00AD4B16">
        <w:rPr>
          <w:rFonts w:asciiTheme="minorHAnsi" w:eastAsiaTheme="minorEastAsia" w:hAnsiTheme="minorHAnsi" w:cstheme="minorBidi"/>
          <w:b/>
          <w:i/>
          <w:color w:val="000000" w:themeColor="text1"/>
          <w:kern w:val="24"/>
          <w:sz w:val="28"/>
          <w:szCs w:val="28"/>
        </w:rPr>
        <w:t>any</w:t>
      </w:r>
      <w:r w:rsidRPr="00C13AFC">
        <w:rPr>
          <w:rFonts w:asciiTheme="minorHAnsi" w:eastAsiaTheme="minorEastAsia" w:hAnsiTheme="minorHAnsi" w:cstheme="minorBidi"/>
          <w:color w:val="000000" w:themeColor="text1"/>
          <w:kern w:val="24"/>
          <w:sz w:val="28"/>
          <w:szCs w:val="28"/>
        </w:rPr>
        <w:t xml:space="preserve"> PLA credits had significantly higher retention, GPAs and credit accumulation. (Schutz &amp; Gibson, 2012)</w:t>
      </w:r>
    </w:p>
    <w:p w14:paraId="16306562" w14:textId="77777777"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59AE155A" w14:textId="77777777" w:rsidR="009B477D" w:rsidRPr="00C13AFC"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p>
    <w:p w14:paraId="0675F2BE" w14:textId="77777777" w:rsidR="009B477D" w:rsidRPr="00C13AFC" w:rsidRDefault="009B477D" w:rsidP="009B477D">
      <w:pPr>
        <w:pStyle w:val="NormalWeb"/>
        <w:spacing w:before="0" w:beforeAutospacing="0" w:after="0" w:afterAutospacing="0"/>
        <w:rPr>
          <w:rFonts w:asciiTheme="minorHAnsi" w:hAnsiTheme="minorHAnsi"/>
          <w:sz w:val="28"/>
          <w:szCs w:val="28"/>
        </w:rPr>
      </w:pPr>
    </w:p>
    <w:p w14:paraId="75EE1CB7" w14:textId="77777777" w:rsidR="009B477D" w:rsidRDefault="009B477D" w:rsidP="009B477D">
      <w:pPr>
        <w:pStyle w:val="NormalWeb"/>
        <w:spacing w:before="0" w:beforeAutospacing="0" w:after="0" w:afterAutospacing="0"/>
        <w:jc w:val="center"/>
        <w:rPr>
          <w:rFonts w:asciiTheme="minorHAnsi" w:eastAsiaTheme="minorEastAsia" w:hAnsiTheme="minorHAnsi" w:cstheme="minorBidi"/>
          <w:color w:val="000000" w:themeColor="text1"/>
          <w:kern w:val="24"/>
          <w:sz w:val="28"/>
          <w:szCs w:val="28"/>
        </w:rPr>
      </w:pPr>
      <w:r w:rsidRPr="00C13AFC">
        <w:rPr>
          <w:rFonts w:asciiTheme="minorHAnsi" w:eastAsiaTheme="minorEastAsia" w:hAnsiTheme="minorHAnsi" w:cstheme="minorBidi"/>
          <w:noProof/>
          <w:color w:val="000000" w:themeColor="text1"/>
          <w:kern w:val="24"/>
          <w:sz w:val="28"/>
          <w:szCs w:val="28"/>
        </w:rPr>
        <w:drawing>
          <wp:inline distT="0" distB="0" distL="0" distR="0" wp14:anchorId="329C9EEB" wp14:editId="3D8970B1">
            <wp:extent cx="3245006" cy="5043777"/>
            <wp:effectExtent l="0" t="0" r="31750" b="368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D09370" w14:textId="77777777" w:rsidR="009B477D" w:rsidRDefault="009B477D" w:rsidP="009B477D">
      <w:pPr>
        <w:pStyle w:val="NormalWeb"/>
        <w:spacing w:before="0" w:beforeAutospacing="0" w:after="0" w:afterAutospacing="0"/>
        <w:jc w:val="center"/>
        <w:rPr>
          <w:rFonts w:asciiTheme="minorHAnsi" w:eastAsiaTheme="minorEastAsia" w:hAnsiTheme="minorHAnsi" w:cstheme="minorBidi"/>
          <w:color w:val="000000" w:themeColor="text1"/>
          <w:kern w:val="24"/>
          <w:sz w:val="28"/>
          <w:szCs w:val="28"/>
        </w:rPr>
      </w:pPr>
    </w:p>
    <w:p w14:paraId="3EB50C60" w14:textId="77777777" w:rsidR="009B477D" w:rsidRPr="00C13AFC" w:rsidRDefault="009B477D" w:rsidP="009B477D">
      <w:pPr>
        <w:pStyle w:val="NormalWeb"/>
        <w:spacing w:before="0" w:beforeAutospacing="0" w:after="0" w:afterAutospacing="0"/>
        <w:rPr>
          <w:rFonts w:asciiTheme="minorHAnsi" w:hAnsiTheme="minorHAnsi"/>
          <w:sz w:val="28"/>
          <w:szCs w:val="28"/>
        </w:rPr>
      </w:pPr>
      <w:r>
        <w:rPr>
          <w:rFonts w:asciiTheme="minorHAnsi" w:eastAsiaTheme="minorEastAsia" w:hAnsiTheme="minorHAnsi" w:cstheme="minorBidi"/>
          <w:color w:val="000000" w:themeColor="text1"/>
          <w:kern w:val="24"/>
          <w:sz w:val="28"/>
          <w:szCs w:val="28"/>
        </w:rPr>
        <w:t>Having a degree boosts lifetime earnings exponentially. Thinking outside of the Carnegie Unit box, taking into account prior learning, non-traditional training and micro-credentials is a powerful way to lift American adults out of poverty and provide them with the opportunity to increase their earning power and follow the career of their dreams.</w:t>
      </w:r>
    </w:p>
    <w:p w14:paraId="42A88CCD" w14:textId="77777777" w:rsidR="009B477D" w:rsidRDefault="009B477D" w:rsidP="009B477D">
      <w:pPr>
        <w:rPr>
          <w:sz w:val="28"/>
          <w:szCs w:val="28"/>
        </w:rPr>
      </w:pPr>
    </w:p>
    <w:p w14:paraId="572E6AB7" w14:textId="77777777" w:rsidR="00464265" w:rsidRDefault="00464265" w:rsidP="009B477D">
      <w:pPr>
        <w:rPr>
          <w:b/>
          <w:sz w:val="28"/>
          <w:szCs w:val="28"/>
        </w:rPr>
      </w:pPr>
    </w:p>
    <w:p w14:paraId="2AC0CAF2" w14:textId="77777777" w:rsidR="00464265" w:rsidRDefault="00464265" w:rsidP="009B477D">
      <w:pPr>
        <w:rPr>
          <w:b/>
          <w:sz w:val="28"/>
          <w:szCs w:val="28"/>
        </w:rPr>
      </w:pPr>
    </w:p>
    <w:p w14:paraId="41365EEF" w14:textId="77777777" w:rsidR="00464265" w:rsidRDefault="00464265" w:rsidP="009B477D">
      <w:pPr>
        <w:rPr>
          <w:b/>
          <w:sz w:val="28"/>
          <w:szCs w:val="28"/>
        </w:rPr>
      </w:pPr>
    </w:p>
    <w:p w14:paraId="5DE4D96E" w14:textId="77777777" w:rsidR="009B477D" w:rsidRDefault="009B477D" w:rsidP="009B477D">
      <w:pPr>
        <w:rPr>
          <w:b/>
          <w:sz w:val="28"/>
          <w:szCs w:val="28"/>
        </w:rPr>
      </w:pPr>
      <w:r>
        <w:rPr>
          <w:b/>
          <w:sz w:val="28"/>
          <w:szCs w:val="28"/>
        </w:rPr>
        <w:t>An Evolving Commodity</w:t>
      </w:r>
    </w:p>
    <w:p w14:paraId="2F762C4D" w14:textId="77777777" w:rsidR="009B477D" w:rsidRDefault="009B477D" w:rsidP="009B477D">
      <w:pPr>
        <w:rPr>
          <w:color w:val="000000" w:themeColor="text1"/>
          <w:kern w:val="24"/>
          <w:sz w:val="28"/>
          <w:szCs w:val="28"/>
        </w:rPr>
      </w:pPr>
    </w:p>
    <w:p w14:paraId="638E498E" w14:textId="6752BAD4" w:rsidR="009B477D" w:rsidRDefault="009B477D" w:rsidP="009B477D">
      <w:pPr>
        <w:pStyle w:val="NormalWeb"/>
        <w:spacing w:before="0" w:beforeAutospacing="0" w:after="0" w:afterAutospacing="0"/>
        <w:rPr>
          <w:rFonts w:asciiTheme="minorHAnsi" w:eastAsiaTheme="minorEastAsia" w:hAnsiTheme="minorHAnsi" w:cstheme="minorBidi"/>
          <w:color w:val="000000" w:themeColor="text1"/>
          <w:kern w:val="24"/>
          <w:sz w:val="28"/>
          <w:szCs w:val="28"/>
        </w:rPr>
      </w:pPr>
      <w:r w:rsidRPr="00C13AFC">
        <w:rPr>
          <w:sz w:val="28"/>
          <w:szCs w:val="28"/>
        </w:rPr>
        <w:t>US post secondary credentials include thousands of different certificates, certifications, licenses and badges</w:t>
      </w:r>
      <w:r>
        <w:rPr>
          <w:sz w:val="28"/>
          <w:szCs w:val="28"/>
        </w:rPr>
        <w:t xml:space="preserve"> and new micro-credentials and pathways emerge every day</w:t>
      </w:r>
      <w:r w:rsidRPr="00C13AFC">
        <w:rPr>
          <w:sz w:val="28"/>
          <w:szCs w:val="28"/>
        </w:rPr>
        <w:t>.</w:t>
      </w:r>
      <w:r>
        <w:rPr>
          <w:sz w:val="28"/>
          <w:szCs w:val="28"/>
        </w:rPr>
        <w:t xml:space="preserve"> </w:t>
      </w:r>
      <w:r w:rsidRPr="00C13AFC">
        <w:rPr>
          <w:sz w:val="28"/>
          <w:szCs w:val="28"/>
        </w:rPr>
        <w:t>But the diversity of credentials is not always meeting the needs of stud</w:t>
      </w:r>
      <w:r w:rsidR="00464265">
        <w:rPr>
          <w:sz w:val="28"/>
          <w:szCs w:val="28"/>
        </w:rPr>
        <w:t xml:space="preserve">ents, educational institutions and </w:t>
      </w:r>
      <w:r w:rsidRPr="00C13AFC">
        <w:rPr>
          <w:sz w:val="28"/>
          <w:szCs w:val="28"/>
        </w:rPr>
        <w:t xml:space="preserve">employers because the growth in types of credentials is creating confusion. </w:t>
      </w:r>
      <w:r w:rsidRPr="00C13AFC">
        <w:rPr>
          <w:rFonts w:asciiTheme="minorHAnsi" w:eastAsiaTheme="minorEastAsia" w:hAnsiTheme="minorHAnsi" w:cstheme="minorBidi"/>
          <w:color w:val="000000" w:themeColor="text1"/>
          <w:kern w:val="24"/>
          <w:sz w:val="28"/>
          <w:szCs w:val="28"/>
        </w:rPr>
        <w:t>Companies must be nimble and</w:t>
      </w:r>
      <w:r w:rsidR="004C5FA8">
        <w:rPr>
          <w:rFonts w:asciiTheme="minorHAnsi" w:eastAsiaTheme="minorEastAsia" w:hAnsiTheme="minorHAnsi" w:cstheme="minorBidi"/>
          <w:color w:val="000000" w:themeColor="text1"/>
          <w:kern w:val="24"/>
          <w:sz w:val="28"/>
          <w:szCs w:val="28"/>
        </w:rPr>
        <w:t xml:space="preserve"> move at ever increasing speeds and</w:t>
      </w:r>
      <w:r w:rsidRPr="00C13AFC">
        <w:rPr>
          <w:rFonts w:asciiTheme="minorHAnsi" w:eastAsiaTheme="minorEastAsia" w:hAnsiTheme="minorHAnsi" w:cstheme="minorBidi"/>
          <w:color w:val="000000" w:themeColor="text1"/>
          <w:kern w:val="24"/>
          <w:sz w:val="28"/>
          <w:szCs w:val="28"/>
        </w:rPr>
        <w:t xml:space="preserve"> </w:t>
      </w:r>
      <w:r>
        <w:rPr>
          <w:rFonts w:asciiTheme="minorHAnsi" w:eastAsiaTheme="minorEastAsia" w:hAnsiTheme="minorHAnsi" w:cstheme="minorBidi"/>
          <w:color w:val="000000" w:themeColor="text1"/>
          <w:kern w:val="24"/>
          <w:sz w:val="28"/>
          <w:szCs w:val="28"/>
        </w:rPr>
        <w:t xml:space="preserve">their workforce must be prepared for the next innovation, </w:t>
      </w:r>
      <w:r w:rsidR="004C5FA8">
        <w:rPr>
          <w:rFonts w:asciiTheme="minorHAnsi" w:eastAsiaTheme="minorEastAsia" w:hAnsiTheme="minorHAnsi" w:cstheme="minorBidi"/>
          <w:color w:val="000000" w:themeColor="text1"/>
          <w:kern w:val="24"/>
          <w:sz w:val="28"/>
          <w:szCs w:val="28"/>
        </w:rPr>
        <w:t>which means</w:t>
      </w:r>
      <w:r w:rsidRPr="00C13AFC">
        <w:rPr>
          <w:rFonts w:asciiTheme="minorHAnsi" w:eastAsiaTheme="minorEastAsia" w:hAnsiTheme="minorHAnsi" w:cstheme="minorBidi"/>
          <w:color w:val="000000" w:themeColor="text1"/>
          <w:kern w:val="24"/>
          <w:sz w:val="28"/>
          <w:szCs w:val="28"/>
        </w:rPr>
        <w:t xml:space="preserve"> there is demand </w:t>
      </w:r>
      <w:r>
        <w:rPr>
          <w:rFonts w:asciiTheme="minorHAnsi" w:eastAsiaTheme="minorEastAsia" w:hAnsiTheme="minorHAnsi" w:cstheme="minorBidi"/>
          <w:color w:val="000000" w:themeColor="text1"/>
          <w:kern w:val="24"/>
          <w:sz w:val="28"/>
          <w:szCs w:val="28"/>
        </w:rPr>
        <w:t xml:space="preserve">and opportunity </w:t>
      </w:r>
      <w:r w:rsidRPr="00C13AFC">
        <w:rPr>
          <w:rFonts w:asciiTheme="minorHAnsi" w:eastAsiaTheme="minorEastAsia" w:hAnsiTheme="minorHAnsi" w:cstheme="minorBidi"/>
          <w:color w:val="000000" w:themeColor="text1"/>
          <w:kern w:val="24"/>
          <w:sz w:val="28"/>
          <w:szCs w:val="28"/>
        </w:rPr>
        <w:t>for h</w:t>
      </w:r>
      <w:r w:rsidR="004C5FA8">
        <w:rPr>
          <w:rFonts w:asciiTheme="minorHAnsi" w:eastAsiaTheme="minorEastAsia" w:hAnsiTheme="minorHAnsi" w:cstheme="minorBidi"/>
          <w:color w:val="000000" w:themeColor="text1"/>
          <w:kern w:val="24"/>
          <w:sz w:val="28"/>
          <w:szCs w:val="28"/>
        </w:rPr>
        <w:t>igher education institutions to</w:t>
      </w:r>
      <w:r>
        <w:rPr>
          <w:rFonts w:asciiTheme="minorHAnsi" w:eastAsiaTheme="minorEastAsia" w:hAnsiTheme="minorHAnsi" w:cstheme="minorBidi"/>
          <w:color w:val="000000" w:themeColor="text1"/>
          <w:kern w:val="24"/>
          <w:sz w:val="28"/>
          <w:szCs w:val="28"/>
        </w:rPr>
        <w:t xml:space="preserve"> evolve at the same fast pace</w:t>
      </w:r>
      <w:r w:rsidRPr="00C13AFC">
        <w:rPr>
          <w:rFonts w:asciiTheme="minorHAnsi" w:eastAsiaTheme="minorEastAsia" w:hAnsiTheme="minorHAnsi" w:cstheme="minorBidi"/>
          <w:color w:val="000000" w:themeColor="text1"/>
          <w:kern w:val="24"/>
          <w:sz w:val="28"/>
          <w:szCs w:val="28"/>
        </w:rPr>
        <w:t xml:space="preserve">. </w:t>
      </w:r>
    </w:p>
    <w:p w14:paraId="64A8C6A4" w14:textId="77777777" w:rsidR="009B477D" w:rsidRDefault="009B477D" w:rsidP="009B477D">
      <w:pPr>
        <w:pStyle w:val="NormalWeb"/>
        <w:spacing w:before="0" w:beforeAutospacing="0" w:after="0" w:afterAutospacing="0"/>
        <w:rPr>
          <w:sz w:val="28"/>
          <w:szCs w:val="28"/>
        </w:rPr>
      </w:pPr>
    </w:p>
    <w:p w14:paraId="39D97DA9" w14:textId="77777777" w:rsidR="009B477D" w:rsidRDefault="009B477D" w:rsidP="009B477D">
      <w:pPr>
        <w:rPr>
          <w:sz w:val="28"/>
          <w:szCs w:val="28"/>
        </w:rPr>
      </w:pPr>
      <w:r w:rsidRPr="00C13AFC">
        <w:rPr>
          <w:sz w:val="28"/>
          <w:szCs w:val="28"/>
        </w:rPr>
        <w:t>It is widely acknowledged that clarification of the credentialing ecosystem is necessary and timely. There is a need to identify, understand, and offer the right credentials for the right people at the right time. There often are no reliable ways to compare the quality of credentials, what makes them valuable, their transferability, their</w:t>
      </w:r>
      <w:r>
        <w:rPr>
          <w:sz w:val="28"/>
          <w:szCs w:val="28"/>
        </w:rPr>
        <w:t xml:space="preserve"> </w:t>
      </w:r>
      <w:r w:rsidRPr="00C13AFC">
        <w:rPr>
          <w:sz w:val="28"/>
          <w:szCs w:val="28"/>
        </w:rPr>
        <w:t xml:space="preserve">relationship to other credentials and to employment opportunities. </w:t>
      </w:r>
    </w:p>
    <w:p w14:paraId="67B68E70" w14:textId="77777777" w:rsidR="009B477D" w:rsidRDefault="009B477D" w:rsidP="009B477D">
      <w:pPr>
        <w:rPr>
          <w:sz w:val="28"/>
          <w:szCs w:val="28"/>
        </w:rPr>
      </w:pPr>
    </w:p>
    <w:p w14:paraId="61835AEB" w14:textId="77777777" w:rsidR="009B477D" w:rsidRDefault="009B477D" w:rsidP="009B477D">
      <w:pPr>
        <w:rPr>
          <w:sz w:val="28"/>
          <w:szCs w:val="28"/>
        </w:rPr>
      </w:pPr>
      <w:r w:rsidRPr="00C13AFC">
        <w:rPr>
          <w:b/>
          <w:bCs/>
          <w:sz w:val="28"/>
          <w:szCs w:val="28"/>
        </w:rPr>
        <w:t xml:space="preserve">Colleges </w:t>
      </w:r>
      <w:r w:rsidRPr="00C13AFC">
        <w:rPr>
          <w:sz w:val="28"/>
          <w:szCs w:val="28"/>
        </w:rPr>
        <w:t xml:space="preserve">need to communicate the value of their credentials for </w:t>
      </w:r>
      <w:r w:rsidR="00464265">
        <w:rPr>
          <w:sz w:val="28"/>
          <w:szCs w:val="28"/>
        </w:rPr>
        <w:t>employment, career advancement and civic engagement</w:t>
      </w:r>
      <w:r w:rsidRPr="00C13AFC">
        <w:rPr>
          <w:sz w:val="28"/>
          <w:szCs w:val="28"/>
        </w:rPr>
        <w:t xml:space="preserve"> in order to attract students. </w:t>
      </w:r>
      <w:r w:rsidRPr="00C13AFC">
        <w:rPr>
          <w:b/>
          <w:bCs/>
          <w:sz w:val="28"/>
          <w:szCs w:val="28"/>
        </w:rPr>
        <w:t>Employers</w:t>
      </w:r>
      <w:r w:rsidRPr="00C13AFC">
        <w:rPr>
          <w:sz w:val="28"/>
          <w:szCs w:val="28"/>
        </w:rPr>
        <w:t xml:space="preserve"> need to understand the competencies potential employees have through the credentials they have earned – credit or non-credit, traditiona</w:t>
      </w:r>
      <w:r>
        <w:rPr>
          <w:sz w:val="28"/>
          <w:szCs w:val="28"/>
        </w:rPr>
        <w:t>l or non-traditional, which may not be evident from a college transcript</w:t>
      </w:r>
      <w:r w:rsidRPr="00C13AFC">
        <w:rPr>
          <w:sz w:val="28"/>
          <w:szCs w:val="28"/>
        </w:rPr>
        <w:t xml:space="preserve">. </w:t>
      </w:r>
      <w:r>
        <w:rPr>
          <w:sz w:val="28"/>
          <w:szCs w:val="28"/>
        </w:rPr>
        <w:t xml:space="preserve"> </w:t>
      </w:r>
    </w:p>
    <w:p w14:paraId="0743C95C" w14:textId="77777777" w:rsidR="009B477D" w:rsidRDefault="009B477D" w:rsidP="009B477D">
      <w:pPr>
        <w:rPr>
          <w:sz w:val="28"/>
          <w:szCs w:val="28"/>
        </w:rPr>
      </w:pPr>
    </w:p>
    <w:p w14:paraId="4E9075AF" w14:textId="386B1C02" w:rsidR="009B477D" w:rsidRPr="00C13AFC" w:rsidRDefault="009B477D" w:rsidP="009B477D">
      <w:pPr>
        <w:rPr>
          <w:sz w:val="28"/>
          <w:szCs w:val="28"/>
        </w:rPr>
      </w:pPr>
      <w:r w:rsidRPr="00C13AFC">
        <w:rPr>
          <w:sz w:val="28"/>
          <w:szCs w:val="28"/>
        </w:rPr>
        <w:t>Higher education institutions can improve the value of their credentials while meeting the needs of students and employers by crafting solid</w:t>
      </w:r>
      <w:r w:rsidR="00A555D7">
        <w:rPr>
          <w:sz w:val="28"/>
          <w:szCs w:val="28"/>
        </w:rPr>
        <w:t xml:space="preserve"> non-credit to credit pathways </w:t>
      </w:r>
      <w:r w:rsidRPr="00C13AFC">
        <w:rPr>
          <w:sz w:val="28"/>
          <w:szCs w:val="28"/>
        </w:rPr>
        <w:t>and connecting credentials to degrees</w:t>
      </w:r>
      <w:r>
        <w:rPr>
          <w:sz w:val="28"/>
          <w:szCs w:val="28"/>
        </w:rPr>
        <w:t xml:space="preserve"> for higher education and e</w:t>
      </w:r>
      <w:r w:rsidRPr="00C13AFC">
        <w:rPr>
          <w:sz w:val="28"/>
          <w:szCs w:val="28"/>
        </w:rPr>
        <w:t>mployability.</w:t>
      </w:r>
    </w:p>
    <w:p w14:paraId="16FF9B4F" w14:textId="77777777" w:rsidR="009426D5" w:rsidRDefault="009426D5"/>
    <w:p w14:paraId="66F5EC48" w14:textId="77777777" w:rsidR="003D0931" w:rsidRDefault="003D0931">
      <w:pPr>
        <w:rPr>
          <w:sz w:val="28"/>
          <w:szCs w:val="28"/>
        </w:rPr>
      </w:pPr>
      <w:r w:rsidRPr="00C13AFC">
        <w:rPr>
          <w:sz w:val="28"/>
          <w:szCs w:val="28"/>
        </w:rPr>
        <w:t>Jane MacKillop,</w:t>
      </w:r>
      <w:r>
        <w:rPr>
          <w:sz w:val="28"/>
          <w:szCs w:val="28"/>
        </w:rPr>
        <w:t xml:space="preserve"> Interim Dean, School of Continuing and Professional Studies, Lehman College</w:t>
      </w:r>
    </w:p>
    <w:p w14:paraId="0376640C" w14:textId="77777777" w:rsidR="003D0931" w:rsidRDefault="003D0931">
      <w:pPr>
        <w:rPr>
          <w:sz w:val="28"/>
          <w:szCs w:val="28"/>
        </w:rPr>
      </w:pPr>
      <w:r w:rsidRPr="00C13AFC">
        <w:rPr>
          <w:sz w:val="28"/>
          <w:szCs w:val="28"/>
        </w:rPr>
        <w:t>Jill Pippin, Dean of E</w:t>
      </w:r>
      <w:r>
        <w:rPr>
          <w:sz w:val="28"/>
          <w:szCs w:val="28"/>
        </w:rPr>
        <w:t>xtended Learning at SUNY Oswego</w:t>
      </w:r>
    </w:p>
    <w:p w14:paraId="6FE8C453" w14:textId="77777777" w:rsidR="003D0931" w:rsidRDefault="003D0931">
      <w:pPr>
        <w:rPr>
          <w:sz w:val="28"/>
          <w:szCs w:val="28"/>
        </w:rPr>
      </w:pPr>
      <w:r w:rsidRPr="00C13AFC">
        <w:rPr>
          <w:sz w:val="28"/>
          <w:szCs w:val="28"/>
        </w:rPr>
        <w:t xml:space="preserve">Kim Kendall, Executive Director of </w:t>
      </w:r>
      <w:r w:rsidRPr="009B477D">
        <w:rPr>
          <w:sz w:val="28"/>
          <w:szCs w:val="28"/>
        </w:rPr>
        <w:t>Workforce,</w:t>
      </w:r>
      <w:r w:rsidRPr="00C13AFC">
        <w:rPr>
          <w:sz w:val="28"/>
          <w:szCs w:val="28"/>
        </w:rPr>
        <w:t xml:space="preserve"> at LaGuardia Community College and</w:t>
      </w:r>
    </w:p>
    <w:p w14:paraId="4FC0852F" w14:textId="77777777" w:rsidR="003D0931" w:rsidRDefault="003D0931">
      <w:r w:rsidRPr="00C13AFC">
        <w:rPr>
          <w:sz w:val="28"/>
          <w:szCs w:val="28"/>
        </w:rPr>
        <w:lastRenderedPageBreak/>
        <w:t xml:space="preserve"> </w:t>
      </w:r>
      <w:r>
        <w:rPr>
          <w:sz w:val="28"/>
          <w:szCs w:val="28"/>
        </w:rPr>
        <w:t>,</w:t>
      </w:r>
    </w:p>
    <w:sectPr w:rsidR="003D0931" w:rsidSect="00864388">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3D22" w14:textId="77777777" w:rsidR="00464265" w:rsidRDefault="00464265" w:rsidP="00464265">
      <w:r>
        <w:separator/>
      </w:r>
    </w:p>
  </w:endnote>
  <w:endnote w:type="continuationSeparator" w:id="0">
    <w:p w14:paraId="10AFBA79" w14:textId="77777777" w:rsidR="00464265" w:rsidRDefault="00464265" w:rsidP="0046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EDC8" w14:textId="77777777" w:rsidR="00464265" w:rsidRDefault="00464265" w:rsidP="00C67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9D252" w14:textId="77777777" w:rsidR="00464265" w:rsidRDefault="004642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13B53" w14:textId="77777777" w:rsidR="00464265" w:rsidRDefault="00464265" w:rsidP="00C67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5D7">
      <w:rPr>
        <w:rStyle w:val="PageNumber"/>
        <w:noProof/>
      </w:rPr>
      <w:t>1</w:t>
    </w:r>
    <w:r>
      <w:rPr>
        <w:rStyle w:val="PageNumber"/>
      </w:rPr>
      <w:fldChar w:fldCharType="end"/>
    </w:r>
  </w:p>
  <w:p w14:paraId="4F7DC8F3" w14:textId="77777777" w:rsidR="00464265" w:rsidRDefault="004642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50F8A" w14:textId="77777777" w:rsidR="00464265" w:rsidRDefault="00464265" w:rsidP="00464265">
      <w:r>
        <w:separator/>
      </w:r>
    </w:p>
  </w:footnote>
  <w:footnote w:type="continuationSeparator" w:id="0">
    <w:p w14:paraId="19917E04" w14:textId="77777777" w:rsidR="00464265" w:rsidRDefault="00464265" w:rsidP="004642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5391"/>
    <w:multiLevelType w:val="hybridMultilevel"/>
    <w:tmpl w:val="304EA334"/>
    <w:lvl w:ilvl="0" w:tplc="753276F0">
      <w:start w:val="1"/>
      <w:numFmt w:val="decimal"/>
      <w:lvlText w:val="%1."/>
      <w:lvlJc w:val="left"/>
      <w:pPr>
        <w:tabs>
          <w:tab w:val="num" w:pos="720"/>
        </w:tabs>
        <w:ind w:left="720" w:hanging="360"/>
      </w:pPr>
    </w:lvl>
    <w:lvl w:ilvl="1" w:tplc="367EFCC6">
      <w:start w:val="1"/>
      <w:numFmt w:val="decimal"/>
      <w:lvlText w:val="%2."/>
      <w:lvlJc w:val="left"/>
      <w:pPr>
        <w:tabs>
          <w:tab w:val="num" w:pos="1440"/>
        </w:tabs>
        <w:ind w:left="1440" w:hanging="360"/>
      </w:pPr>
    </w:lvl>
    <w:lvl w:ilvl="2" w:tplc="FEEC5BF0" w:tentative="1">
      <w:start w:val="1"/>
      <w:numFmt w:val="decimal"/>
      <w:lvlText w:val="%3."/>
      <w:lvlJc w:val="left"/>
      <w:pPr>
        <w:tabs>
          <w:tab w:val="num" w:pos="2160"/>
        </w:tabs>
        <w:ind w:left="2160" w:hanging="360"/>
      </w:pPr>
    </w:lvl>
    <w:lvl w:ilvl="3" w:tplc="75FA6C7A" w:tentative="1">
      <w:start w:val="1"/>
      <w:numFmt w:val="decimal"/>
      <w:lvlText w:val="%4."/>
      <w:lvlJc w:val="left"/>
      <w:pPr>
        <w:tabs>
          <w:tab w:val="num" w:pos="2880"/>
        </w:tabs>
        <w:ind w:left="2880" w:hanging="360"/>
      </w:pPr>
    </w:lvl>
    <w:lvl w:ilvl="4" w:tplc="DD6ACD7A" w:tentative="1">
      <w:start w:val="1"/>
      <w:numFmt w:val="decimal"/>
      <w:lvlText w:val="%5."/>
      <w:lvlJc w:val="left"/>
      <w:pPr>
        <w:tabs>
          <w:tab w:val="num" w:pos="3600"/>
        </w:tabs>
        <w:ind w:left="3600" w:hanging="360"/>
      </w:pPr>
    </w:lvl>
    <w:lvl w:ilvl="5" w:tplc="53BA909A" w:tentative="1">
      <w:start w:val="1"/>
      <w:numFmt w:val="decimal"/>
      <w:lvlText w:val="%6."/>
      <w:lvlJc w:val="left"/>
      <w:pPr>
        <w:tabs>
          <w:tab w:val="num" w:pos="4320"/>
        </w:tabs>
        <w:ind w:left="4320" w:hanging="360"/>
      </w:pPr>
    </w:lvl>
    <w:lvl w:ilvl="6" w:tplc="C750E5DE" w:tentative="1">
      <w:start w:val="1"/>
      <w:numFmt w:val="decimal"/>
      <w:lvlText w:val="%7."/>
      <w:lvlJc w:val="left"/>
      <w:pPr>
        <w:tabs>
          <w:tab w:val="num" w:pos="5040"/>
        </w:tabs>
        <w:ind w:left="5040" w:hanging="360"/>
      </w:pPr>
    </w:lvl>
    <w:lvl w:ilvl="7" w:tplc="01242E46" w:tentative="1">
      <w:start w:val="1"/>
      <w:numFmt w:val="decimal"/>
      <w:lvlText w:val="%8."/>
      <w:lvlJc w:val="left"/>
      <w:pPr>
        <w:tabs>
          <w:tab w:val="num" w:pos="5760"/>
        </w:tabs>
        <w:ind w:left="5760" w:hanging="360"/>
      </w:pPr>
    </w:lvl>
    <w:lvl w:ilvl="8" w:tplc="7E0C0A6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7D"/>
    <w:rsid w:val="003D0931"/>
    <w:rsid w:val="00464265"/>
    <w:rsid w:val="004C5FA8"/>
    <w:rsid w:val="00864388"/>
    <w:rsid w:val="009426D5"/>
    <w:rsid w:val="009B477D"/>
    <w:rsid w:val="00A5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E1F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7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B477D"/>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4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77D"/>
    <w:rPr>
      <w:rFonts w:ascii="Lucida Grande" w:hAnsi="Lucida Grande" w:cs="Lucida Grande"/>
      <w:sz w:val="18"/>
      <w:szCs w:val="18"/>
    </w:rPr>
  </w:style>
  <w:style w:type="paragraph" w:styleId="Footer">
    <w:name w:val="footer"/>
    <w:basedOn w:val="Normal"/>
    <w:link w:val="FooterChar"/>
    <w:uiPriority w:val="99"/>
    <w:unhideWhenUsed/>
    <w:rsid w:val="00464265"/>
    <w:pPr>
      <w:tabs>
        <w:tab w:val="center" w:pos="4320"/>
        <w:tab w:val="right" w:pos="8640"/>
      </w:tabs>
    </w:pPr>
  </w:style>
  <w:style w:type="character" w:customStyle="1" w:styleId="FooterChar">
    <w:name w:val="Footer Char"/>
    <w:basedOn w:val="DefaultParagraphFont"/>
    <w:link w:val="Footer"/>
    <w:uiPriority w:val="99"/>
    <w:rsid w:val="00464265"/>
  </w:style>
  <w:style w:type="character" w:styleId="PageNumber">
    <w:name w:val="page number"/>
    <w:basedOn w:val="DefaultParagraphFont"/>
    <w:uiPriority w:val="99"/>
    <w:semiHidden/>
    <w:unhideWhenUsed/>
    <w:rsid w:val="00464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7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B477D"/>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4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77D"/>
    <w:rPr>
      <w:rFonts w:ascii="Lucida Grande" w:hAnsi="Lucida Grande" w:cs="Lucida Grande"/>
      <w:sz w:val="18"/>
      <w:szCs w:val="18"/>
    </w:rPr>
  </w:style>
  <w:style w:type="paragraph" w:styleId="Footer">
    <w:name w:val="footer"/>
    <w:basedOn w:val="Normal"/>
    <w:link w:val="FooterChar"/>
    <w:uiPriority w:val="99"/>
    <w:unhideWhenUsed/>
    <w:rsid w:val="00464265"/>
    <w:pPr>
      <w:tabs>
        <w:tab w:val="center" w:pos="4320"/>
        <w:tab w:val="right" w:pos="8640"/>
      </w:tabs>
    </w:pPr>
  </w:style>
  <w:style w:type="character" w:customStyle="1" w:styleId="FooterChar">
    <w:name w:val="Footer Char"/>
    <w:basedOn w:val="DefaultParagraphFont"/>
    <w:link w:val="Footer"/>
    <w:uiPriority w:val="99"/>
    <w:rsid w:val="00464265"/>
  </w:style>
  <w:style w:type="character" w:styleId="PageNumber">
    <w:name w:val="page number"/>
    <w:basedOn w:val="DefaultParagraphFont"/>
    <w:uiPriority w:val="99"/>
    <w:semiHidden/>
    <w:unhideWhenUsed/>
    <w:rsid w:val="0046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en-US" sz="2000" b="0" baseline="0" dirty="0"/>
              <a:t>Adults </a:t>
            </a:r>
            <a:r>
              <a:rPr lang="en-US" sz="2000" b="0" baseline="0" dirty="0" smtClean="0"/>
              <a:t>without a </a:t>
            </a:r>
            <a:r>
              <a:rPr lang="en-US" sz="2000" b="0" baseline="0" dirty="0"/>
              <a:t>Post Secondary Education Credential</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Some Post Secondary Ed</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tx>
                <c:rich>
                  <a:bodyPr/>
                  <a:lstStyle/>
                  <a:p>
                    <a:r>
                      <a:rPr lang="en-US" smtClean="0"/>
                      <a:t>27</a:t>
                    </a:r>
                    <a:r>
                      <a:rPr lang="en-US" baseline="0" smtClean="0"/>
                      <a:t> Million</a:t>
                    </a:r>
                    <a:endParaRPr lang="en-US" dirty="0"/>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Aged 25-64</c:v>
                </c:pt>
              </c:strCache>
            </c:strRef>
          </c:cat>
          <c:val>
            <c:numRef>
              <c:f>Sheet1!$B$2</c:f>
              <c:numCache>
                <c:formatCode>General</c:formatCode>
                <c:ptCount val="1"/>
                <c:pt idx="0">
                  <c:v>2.7E7</c:v>
                </c:pt>
              </c:numCache>
            </c:numRef>
          </c:val>
        </c:ser>
        <c:ser>
          <c:idx val="1"/>
          <c:order val="1"/>
          <c:tx>
            <c:strRef>
              <c:f>Sheet1!$C$1</c:f>
              <c:strCache>
                <c:ptCount val="1"/>
                <c:pt idx="0">
                  <c:v>No Post Secondary Ed</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tx>
                <c:rich>
                  <a:bodyPr rot="0" spcFirstLastPara="1" vertOverflow="ellipsis" vert="horz" wrap="square" lIns="38100" tIns="19050" rIns="38100" bIns="19050" anchor="ctr" anchorCtr="1">
                    <a:noAutofit/>
                  </a:bodyPr>
                  <a:lstStyle/>
                  <a:p>
                    <a:pPr>
                      <a:defRPr sz="1197" b="1" i="0" u="none" strike="noStrike" kern="1200" baseline="0">
                        <a:solidFill>
                          <a:schemeClr val="lt1"/>
                        </a:solidFill>
                        <a:latin typeface="+mn-lt"/>
                        <a:ea typeface="+mn-ea"/>
                        <a:cs typeface="+mn-cs"/>
                      </a:defRPr>
                    </a:pPr>
                    <a:r>
                      <a:rPr lang="en-US" smtClean="0"/>
                      <a:t>63.8</a:t>
                    </a:r>
                    <a:r>
                      <a:rPr lang="en-US" baseline="0" smtClean="0"/>
                      <a:t> Million</a:t>
                    </a:r>
                    <a:endParaRPr lang="en-US" dirty="0"/>
                  </a:p>
                </c:rich>
              </c:tx>
              <c:spPr>
                <a:noFill/>
                <a:ln>
                  <a:noFill/>
                </a:ln>
                <a:effectLst/>
              </c:sp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Aged 25-64</c:v>
                </c:pt>
              </c:strCache>
            </c:strRef>
          </c:cat>
          <c:val>
            <c:numRef>
              <c:f>Sheet1!$C$2</c:f>
              <c:numCache>
                <c:formatCode>General</c:formatCode>
                <c:ptCount val="1"/>
                <c:pt idx="0">
                  <c:v>6.38E7</c:v>
                </c:pt>
              </c:numCache>
            </c:numRef>
          </c:val>
        </c:ser>
        <c:dLbls>
          <c:dLblPos val="inEnd"/>
          <c:showLegendKey val="0"/>
          <c:showVal val="1"/>
          <c:showCatName val="0"/>
          <c:showSerName val="0"/>
          <c:showPercent val="0"/>
          <c:showBubbleSize val="0"/>
        </c:dLbls>
        <c:gapWidth val="65"/>
        <c:axId val="-2109394888"/>
        <c:axId val="-2107026200"/>
      </c:barChart>
      <c:catAx>
        <c:axId val="-21093948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en-US"/>
          </a:p>
        </c:txPr>
        <c:crossAx val="-2107026200"/>
        <c:crosses val="autoZero"/>
        <c:auto val="1"/>
        <c:lblAlgn val="ctr"/>
        <c:lblOffset val="100"/>
        <c:noMultiLvlLbl val="0"/>
      </c:catAx>
      <c:valAx>
        <c:axId val="-21070262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1093948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3342</Words>
  <Characters>19055</Characters>
  <Application>Microsoft Macintosh Word</Application>
  <DocSecurity>0</DocSecurity>
  <Lines>158</Lines>
  <Paragraphs>44</Paragraphs>
  <ScaleCrop>false</ScaleCrop>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MacKillop</dc:creator>
  <cp:keywords/>
  <dc:description/>
  <cp:lastModifiedBy>Jane MacKillop</cp:lastModifiedBy>
  <cp:revision>2</cp:revision>
  <dcterms:created xsi:type="dcterms:W3CDTF">2017-12-03T16:21:00Z</dcterms:created>
  <dcterms:modified xsi:type="dcterms:W3CDTF">2017-12-03T16:21:00Z</dcterms:modified>
</cp:coreProperties>
</file>